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85" w:rsidRPr="009F223B" w:rsidRDefault="00993585" w:rsidP="00AC6080">
      <w:pPr>
        <w:autoSpaceDE w:val="0"/>
        <w:autoSpaceDN w:val="0"/>
        <w:adjustRightInd w:val="0"/>
        <w:spacing w:line="276" w:lineRule="auto"/>
        <w:jc w:val="both"/>
        <w:rPr>
          <w:rFonts w:cs="Arial"/>
        </w:rPr>
      </w:pPr>
      <w:r>
        <w:rPr>
          <w:noProof/>
          <w:lang w:eastAsia="de-DE"/>
        </w:rPr>
        <mc:AlternateContent>
          <mc:Choice Requires="wps">
            <w:drawing>
              <wp:anchor distT="0" distB="0" distL="114300" distR="114300" simplePos="0" relativeHeight="251659264" behindDoc="0" locked="0" layoutInCell="1" allowOverlap="1" wp14:anchorId="1ACFBC34" wp14:editId="2E73CDD1">
                <wp:simplePos x="0" y="0"/>
                <wp:positionH relativeFrom="margin">
                  <wp:align>right</wp:align>
                </wp:positionH>
                <wp:positionV relativeFrom="paragraph">
                  <wp:posOffset>-6985</wp:posOffset>
                </wp:positionV>
                <wp:extent cx="5629275" cy="857250"/>
                <wp:effectExtent l="0" t="0" r="28575"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857250"/>
                        </a:xfrm>
                        <a:prstGeom prst="rect">
                          <a:avLst/>
                        </a:prstGeom>
                        <a:solidFill>
                          <a:srgbClr val="FFFFFF"/>
                        </a:solidFill>
                        <a:ln w="9525">
                          <a:solidFill>
                            <a:srgbClr val="FFFFFF"/>
                          </a:solidFill>
                          <a:miter lim="800000"/>
                          <a:headEnd/>
                          <a:tailEnd/>
                        </a:ln>
                      </wps:spPr>
                      <wps:txbx>
                        <w:txbxContent>
                          <w:p w:rsidR="00993585" w:rsidRPr="008C05C3" w:rsidRDefault="00993585" w:rsidP="00A010EE">
                            <w:pPr>
                              <w:rPr>
                                <w:rFonts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2.05pt;margin-top:-.55pt;width:443.25pt;height: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" strokecolor="white">
                <v:textbox>
                  <w:txbxContent>
                    <w:p w:rsidR="00993585" w:rsidRPr="008C05C3" w:rsidRDefault="00993585" w:rsidP="00A010EE">
                      <w:pPr>
                        <w:rPr>
                          <w:rFonts w:cs="Arial"/>
                          <w:sz w:val="28"/>
                          <w:szCs w:val="28"/>
                        </w:rPr>
                      </w:pPr>
                    </w:p>
                  </w:txbxContent>
                </v:textbox>
                <w10:wrap anchorx="margin"/>
              </v:shape>
            </w:pict>
          </mc:Fallback>
        </mc:AlternateContent>
      </w:r>
    </w:p>
    <w:p w:rsidR="00993585" w:rsidRPr="009F223B" w:rsidRDefault="00993585" w:rsidP="00AC6080">
      <w:pPr>
        <w:autoSpaceDE w:val="0"/>
        <w:autoSpaceDN w:val="0"/>
        <w:adjustRightInd w:val="0"/>
        <w:spacing w:line="276" w:lineRule="auto"/>
        <w:jc w:val="both"/>
        <w:rPr>
          <w:rFonts w:cs="Arial"/>
        </w:rPr>
      </w:pPr>
    </w:p>
    <w:p w:rsidR="00993585" w:rsidRPr="009F223B" w:rsidRDefault="00993585" w:rsidP="00AC6080">
      <w:pPr>
        <w:autoSpaceDE w:val="0"/>
        <w:autoSpaceDN w:val="0"/>
        <w:adjustRightInd w:val="0"/>
        <w:spacing w:line="276" w:lineRule="auto"/>
        <w:jc w:val="both"/>
        <w:rPr>
          <w:rFonts w:cs="Arial"/>
        </w:rPr>
      </w:pPr>
    </w:p>
    <w:p w:rsidR="00993585" w:rsidRPr="009F223B" w:rsidRDefault="00993585" w:rsidP="00AC6080">
      <w:pPr>
        <w:autoSpaceDE w:val="0"/>
        <w:autoSpaceDN w:val="0"/>
        <w:adjustRightInd w:val="0"/>
        <w:spacing w:line="276" w:lineRule="auto"/>
        <w:jc w:val="both"/>
        <w:rPr>
          <w:rFonts w:cs="Arial"/>
        </w:rPr>
      </w:pPr>
    </w:p>
    <w:p w:rsidR="00993585" w:rsidRPr="004678EF" w:rsidRDefault="00993585" w:rsidP="00AC6080">
      <w:pPr>
        <w:spacing w:line="276" w:lineRule="auto"/>
        <w:jc w:val="both"/>
      </w:pPr>
    </w:p>
    <w:p w:rsidR="00993585" w:rsidRPr="004678EF" w:rsidRDefault="00993585" w:rsidP="00AC6080">
      <w:pPr>
        <w:spacing w:line="276" w:lineRule="auto"/>
        <w:jc w:val="both"/>
      </w:pPr>
    </w:p>
    <w:p w:rsidR="00993585" w:rsidRDefault="00993585" w:rsidP="00AC6080">
      <w:pPr>
        <w:spacing w:line="276" w:lineRule="auto"/>
        <w:jc w:val="both"/>
      </w:pPr>
    </w:p>
    <w:p w:rsidR="00993585" w:rsidRDefault="00993585" w:rsidP="00AC6080">
      <w:pPr>
        <w:spacing w:line="276" w:lineRule="auto"/>
        <w:jc w:val="both"/>
      </w:pPr>
    </w:p>
    <w:p w:rsidR="00993585" w:rsidRPr="004678EF" w:rsidRDefault="00993585" w:rsidP="00AC6080">
      <w:pPr>
        <w:spacing w:line="276" w:lineRule="auto"/>
        <w:jc w:val="both"/>
      </w:pPr>
    </w:p>
    <w:p w:rsidR="00993585" w:rsidRPr="004678EF" w:rsidRDefault="00993585" w:rsidP="00AC6080">
      <w:pPr>
        <w:spacing w:line="276" w:lineRule="auto"/>
        <w:jc w:val="both"/>
      </w:pPr>
    </w:p>
    <w:p w:rsidR="00993585" w:rsidRPr="009F223B" w:rsidRDefault="00993585" w:rsidP="00725CA6">
      <w:pPr>
        <w:jc w:val="center"/>
        <w:rPr>
          <w:rFonts w:eastAsia="Times New Roman" w:cs="Arial"/>
          <w:b/>
          <w:bCs/>
          <w:color w:val="0050EC"/>
          <w:sz w:val="52"/>
          <w:szCs w:val="24"/>
          <w:lang w:eastAsia="de-DE"/>
        </w:rPr>
      </w:pPr>
      <w:r w:rsidRPr="009F223B">
        <w:rPr>
          <w:rFonts w:eastAsia="Times New Roman" w:cs="Arial"/>
          <w:b/>
          <w:bCs/>
          <w:color w:val="0050EC"/>
          <w:sz w:val="52"/>
          <w:szCs w:val="24"/>
          <w:lang w:eastAsia="de-DE"/>
        </w:rPr>
        <w:t>Mandanten-</w:t>
      </w:r>
    </w:p>
    <w:p w:rsidR="00993585" w:rsidRPr="009F223B" w:rsidRDefault="00993585" w:rsidP="00725CA6">
      <w:pPr>
        <w:jc w:val="center"/>
        <w:rPr>
          <w:rFonts w:eastAsia="Times New Roman" w:cs="Arial"/>
          <w:b/>
          <w:bCs/>
          <w:color w:val="0050EC"/>
          <w:sz w:val="52"/>
          <w:szCs w:val="24"/>
          <w:lang w:eastAsia="de-DE"/>
        </w:rPr>
      </w:pPr>
      <w:r w:rsidRPr="009F223B">
        <w:rPr>
          <w:rFonts w:eastAsia="Times New Roman" w:cs="Arial"/>
          <w:b/>
          <w:bCs/>
          <w:color w:val="0050EC"/>
          <w:sz w:val="52"/>
          <w:szCs w:val="24"/>
          <w:lang w:eastAsia="de-DE"/>
        </w:rPr>
        <w:t>Informationsbrief</w:t>
      </w:r>
    </w:p>
    <w:p w:rsidR="00993585" w:rsidRPr="009F223B" w:rsidRDefault="00993585" w:rsidP="00725CA6">
      <w:pPr>
        <w:autoSpaceDE w:val="0"/>
        <w:autoSpaceDN w:val="0"/>
        <w:adjustRightInd w:val="0"/>
        <w:spacing w:line="276" w:lineRule="auto"/>
        <w:jc w:val="center"/>
        <w:rPr>
          <w:rFonts w:cs="Arial"/>
          <w:b/>
          <w:bCs/>
          <w:color w:val="0050EC"/>
          <w:sz w:val="48"/>
        </w:rPr>
      </w:pPr>
      <w:r w:rsidRPr="009F223B">
        <w:rPr>
          <w:rFonts w:cs="Arial"/>
          <w:b/>
          <w:bCs/>
          <w:color w:val="0050EC"/>
          <w:sz w:val="48"/>
        </w:rPr>
        <w:t>zum</w:t>
      </w:r>
    </w:p>
    <w:p w:rsidR="00993585" w:rsidRPr="009F223B" w:rsidRDefault="00993585" w:rsidP="00725CA6">
      <w:pPr>
        <w:autoSpaceDE w:val="0"/>
        <w:autoSpaceDN w:val="0"/>
        <w:adjustRightInd w:val="0"/>
        <w:spacing w:line="276" w:lineRule="auto"/>
        <w:jc w:val="center"/>
        <w:rPr>
          <w:rFonts w:cs="Arial"/>
          <w:b/>
          <w:bCs/>
          <w:color w:val="0050EC"/>
          <w:sz w:val="48"/>
        </w:rPr>
      </w:pPr>
      <w:r w:rsidRPr="009F223B">
        <w:rPr>
          <w:rFonts w:cs="Arial"/>
          <w:b/>
          <w:bCs/>
          <w:color w:val="0050EC"/>
          <w:sz w:val="48"/>
        </w:rPr>
        <w:t xml:space="preserve">1. </w:t>
      </w:r>
      <w:r w:rsidR="00E74D8F">
        <w:rPr>
          <w:rFonts w:cs="Arial"/>
          <w:b/>
          <w:bCs/>
          <w:color w:val="0050EC"/>
          <w:sz w:val="48"/>
        </w:rPr>
        <w:t>November</w:t>
      </w:r>
      <w:r w:rsidRPr="009F223B">
        <w:rPr>
          <w:rFonts w:cs="Arial"/>
          <w:b/>
          <w:bCs/>
          <w:color w:val="0050EC"/>
          <w:sz w:val="48"/>
        </w:rPr>
        <w:t xml:space="preserve"> 2016</w:t>
      </w:r>
    </w:p>
    <w:p w:rsidR="00993585" w:rsidRPr="009F223B" w:rsidRDefault="00993585" w:rsidP="00AC6080">
      <w:pPr>
        <w:spacing w:line="276" w:lineRule="auto"/>
        <w:jc w:val="both"/>
      </w:pPr>
    </w:p>
    <w:p w:rsidR="00993585" w:rsidRDefault="00993585" w:rsidP="00AC6080">
      <w:pPr>
        <w:spacing w:line="276" w:lineRule="auto"/>
        <w:jc w:val="both"/>
      </w:pPr>
    </w:p>
    <w:p w:rsidR="00993585" w:rsidRDefault="00993585" w:rsidP="00AC6080">
      <w:pPr>
        <w:spacing w:line="276" w:lineRule="auto"/>
        <w:jc w:val="both"/>
      </w:pPr>
    </w:p>
    <w:p w:rsidR="00993585" w:rsidRDefault="00993585" w:rsidP="00AC6080">
      <w:pPr>
        <w:spacing w:line="276" w:lineRule="auto"/>
        <w:jc w:val="both"/>
      </w:pPr>
    </w:p>
    <w:p w:rsidR="00993585" w:rsidRDefault="00993585" w:rsidP="00AC6080">
      <w:pPr>
        <w:spacing w:line="276" w:lineRule="auto"/>
        <w:jc w:val="both"/>
      </w:pPr>
    </w:p>
    <w:p w:rsidR="00993585" w:rsidRPr="009F223B" w:rsidRDefault="00993585" w:rsidP="00AC6080">
      <w:pPr>
        <w:spacing w:line="276" w:lineRule="auto"/>
        <w:jc w:val="both"/>
      </w:pPr>
    </w:p>
    <w:p w:rsidR="00993585" w:rsidRPr="009F223B" w:rsidRDefault="00993585" w:rsidP="00AC6080">
      <w:pPr>
        <w:spacing w:line="276" w:lineRule="auto"/>
        <w:jc w:val="both"/>
      </w:pPr>
    </w:p>
    <w:p w:rsidR="00993585" w:rsidRPr="009F223B" w:rsidRDefault="00993585" w:rsidP="00AC6080">
      <w:pPr>
        <w:spacing w:line="276" w:lineRule="auto"/>
        <w:jc w:val="both"/>
        <w:rPr>
          <w:rFonts w:cs="Arial"/>
        </w:rPr>
      </w:pPr>
      <w:r w:rsidRPr="009F223B">
        <w:rPr>
          <w:rFonts w:cs="Arial"/>
        </w:rPr>
        <w:t>Inhalt</w:t>
      </w:r>
    </w:p>
    <w:p w:rsidR="00993585" w:rsidRPr="009F223B" w:rsidRDefault="00993585" w:rsidP="00AC6080">
      <w:pPr>
        <w:spacing w:line="276" w:lineRule="auto"/>
        <w:jc w:val="both"/>
        <w:sectPr w:rsidR="00993585" w:rsidRPr="009F223B" w:rsidSect="003F07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rsidR="00B577E9" w:rsidRDefault="00D24441" w:rsidP="007541AA">
      <w:pPr>
        <w:pStyle w:val="Verzeichnis1"/>
        <w:ind w:firstLine="113"/>
        <w:rPr>
          <w:rFonts w:asciiTheme="minorHAnsi" w:eastAsiaTheme="minorEastAsia" w:hAnsiTheme="minorHAnsi" w:cstheme="minorBidi"/>
          <w:noProof/>
          <w:sz w:val="22"/>
          <w:lang w:eastAsia="de-DE"/>
        </w:rPr>
      </w:pPr>
      <w:r>
        <w:rPr>
          <w:rFonts w:cs="Arial"/>
          <w:color w:val="FF0000"/>
          <w:szCs w:val="20"/>
        </w:rPr>
        <w:lastRenderedPageBreak/>
        <w:fldChar w:fldCharType="begin"/>
      </w:r>
      <w:r>
        <w:rPr>
          <w:rFonts w:cs="Arial"/>
          <w:color w:val="FF0000"/>
          <w:szCs w:val="20"/>
        </w:rPr>
        <w:instrText xml:space="preserve"> TOC \o "1-1" \n \h \z \u </w:instrText>
      </w:r>
      <w:r>
        <w:rPr>
          <w:rFonts w:cs="Arial"/>
          <w:color w:val="FF0000"/>
          <w:szCs w:val="20"/>
        </w:rPr>
        <w:fldChar w:fldCharType="separate"/>
      </w:r>
      <w:hyperlink w:anchor="_Toc465681736" w:history="1">
        <w:r w:rsidR="00B577E9" w:rsidRPr="002C0181">
          <w:rPr>
            <w:rStyle w:val="Hyperlink"/>
            <w:noProof/>
          </w:rPr>
          <w:t>1</w:t>
        </w:r>
        <w:r w:rsidR="00B577E9">
          <w:rPr>
            <w:rFonts w:asciiTheme="minorHAnsi" w:eastAsiaTheme="minorEastAsia" w:hAnsiTheme="minorHAnsi" w:cstheme="minorBidi"/>
            <w:noProof/>
            <w:sz w:val="22"/>
            <w:lang w:eastAsia="de-DE"/>
          </w:rPr>
          <w:tab/>
        </w:r>
        <w:r w:rsidR="00B577E9" w:rsidRPr="002C0181">
          <w:rPr>
            <w:rStyle w:val="Hyperlink"/>
            <w:noProof/>
          </w:rPr>
          <w:t>Erbschaftsteuerreform – Es ist vollbracht!</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37" w:history="1">
        <w:r w:rsidR="00B577E9" w:rsidRPr="002C0181">
          <w:rPr>
            <w:rStyle w:val="Hyperlink"/>
            <w:noProof/>
          </w:rPr>
          <w:t>2</w:t>
        </w:r>
        <w:r w:rsidR="00B577E9">
          <w:rPr>
            <w:rFonts w:asciiTheme="minorHAnsi" w:eastAsiaTheme="minorEastAsia" w:hAnsiTheme="minorHAnsi" w:cstheme="minorBidi"/>
            <w:noProof/>
            <w:sz w:val="22"/>
            <w:lang w:eastAsia="de-DE"/>
          </w:rPr>
          <w:tab/>
        </w:r>
        <w:r w:rsidR="00B577E9" w:rsidRPr="002C0181">
          <w:rPr>
            <w:rStyle w:val="Hyperlink"/>
            <w:noProof/>
          </w:rPr>
          <w:t>Meisterbonus mindert Werbungskostenabzug nicht</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38" w:history="1">
        <w:r w:rsidR="00B577E9" w:rsidRPr="002C0181">
          <w:rPr>
            <w:rStyle w:val="Hyperlink"/>
            <w:noProof/>
          </w:rPr>
          <w:t>3</w:t>
        </w:r>
        <w:r w:rsidR="00B577E9">
          <w:rPr>
            <w:rFonts w:asciiTheme="minorHAnsi" w:eastAsiaTheme="minorEastAsia" w:hAnsiTheme="minorHAnsi" w:cstheme="minorBidi"/>
            <w:noProof/>
            <w:sz w:val="22"/>
            <w:lang w:eastAsia="de-DE"/>
          </w:rPr>
          <w:tab/>
        </w:r>
        <w:r w:rsidR="00B577E9" w:rsidRPr="002C0181">
          <w:rPr>
            <w:rStyle w:val="Hyperlink"/>
            <w:noProof/>
          </w:rPr>
          <w:t>Sparer-Pauschbeträge noch vor Jahresende nutzen</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39" w:history="1">
        <w:r w:rsidR="00B577E9" w:rsidRPr="002C0181">
          <w:rPr>
            <w:rStyle w:val="Hyperlink"/>
            <w:noProof/>
          </w:rPr>
          <w:t>4</w:t>
        </w:r>
        <w:r w:rsidR="00B577E9">
          <w:rPr>
            <w:rFonts w:asciiTheme="minorHAnsi" w:eastAsiaTheme="minorEastAsia" w:hAnsiTheme="minorHAnsi" w:cstheme="minorBidi"/>
            <w:noProof/>
            <w:sz w:val="22"/>
            <w:lang w:eastAsia="de-DE"/>
          </w:rPr>
          <w:tab/>
        </w:r>
        <w:r w:rsidR="00B577E9" w:rsidRPr="002C0181">
          <w:rPr>
            <w:rStyle w:val="Hyperlink"/>
            <w:noProof/>
          </w:rPr>
          <w:t>Verlustbescheinigungen noch bis 15.12. geschickt nutzen</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40" w:history="1">
        <w:r w:rsidR="00B577E9" w:rsidRPr="002C0181">
          <w:rPr>
            <w:rStyle w:val="Hyperlink"/>
            <w:noProof/>
          </w:rPr>
          <w:t>5</w:t>
        </w:r>
        <w:r w:rsidR="00B577E9">
          <w:rPr>
            <w:rFonts w:asciiTheme="minorHAnsi" w:eastAsiaTheme="minorEastAsia" w:hAnsiTheme="minorHAnsi" w:cstheme="minorBidi"/>
            <w:noProof/>
            <w:sz w:val="22"/>
            <w:lang w:eastAsia="de-DE"/>
          </w:rPr>
          <w:tab/>
        </w:r>
        <w:r w:rsidR="00B577E9" w:rsidRPr="002C0181">
          <w:rPr>
            <w:rStyle w:val="Hyperlink"/>
            <w:noProof/>
          </w:rPr>
          <w:t>Betriebsveranstaltungen</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41" w:history="1">
        <w:r w:rsidR="00B577E9" w:rsidRPr="002C0181">
          <w:rPr>
            <w:rStyle w:val="Hyperlink"/>
            <w:noProof/>
          </w:rPr>
          <w:t>6</w:t>
        </w:r>
        <w:r w:rsidR="00B577E9">
          <w:rPr>
            <w:rFonts w:asciiTheme="minorHAnsi" w:eastAsiaTheme="minorEastAsia" w:hAnsiTheme="minorHAnsi" w:cstheme="minorBidi"/>
            <w:noProof/>
            <w:sz w:val="22"/>
            <w:lang w:eastAsia="de-DE"/>
          </w:rPr>
          <w:tab/>
        </w:r>
        <w:r w:rsidR="00B577E9" w:rsidRPr="002C0181">
          <w:rPr>
            <w:rStyle w:val="Hyperlink"/>
            <w:noProof/>
          </w:rPr>
          <w:t>E-Bike über den Arbeitgeber leasen</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42" w:history="1">
        <w:r w:rsidR="00B577E9" w:rsidRPr="002C0181">
          <w:rPr>
            <w:rStyle w:val="Hyperlink"/>
            <w:noProof/>
          </w:rPr>
          <w:t>7</w:t>
        </w:r>
        <w:r w:rsidR="00B577E9">
          <w:rPr>
            <w:rFonts w:asciiTheme="minorHAnsi" w:eastAsiaTheme="minorEastAsia" w:hAnsiTheme="minorHAnsi" w:cstheme="minorBidi"/>
            <w:noProof/>
            <w:sz w:val="22"/>
            <w:lang w:eastAsia="de-DE"/>
          </w:rPr>
          <w:tab/>
        </w:r>
        <w:r w:rsidR="00B577E9" w:rsidRPr="002C0181">
          <w:rPr>
            <w:rStyle w:val="Hyperlink"/>
            <w:noProof/>
          </w:rPr>
          <w:t>Bonuszahlungen für zusätzliche Gesundheitsaufwendungen</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43" w:history="1">
        <w:r w:rsidR="00B577E9" w:rsidRPr="002C0181">
          <w:rPr>
            <w:rStyle w:val="Hyperlink"/>
            <w:noProof/>
          </w:rPr>
          <w:t>8</w:t>
        </w:r>
        <w:r w:rsidR="00B577E9">
          <w:rPr>
            <w:rFonts w:asciiTheme="minorHAnsi" w:eastAsiaTheme="minorEastAsia" w:hAnsiTheme="minorHAnsi" w:cstheme="minorBidi"/>
            <w:noProof/>
            <w:sz w:val="22"/>
            <w:lang w:eastAsia="de-DE"/>
          </w:rPr>
          <w:tab/>
        </w:r>
        <w:r w:rsidR="00B577E9" w:rsidRPr="002C0181">
          <w:rPr>
            <w:rStyle w:val="Hyperlink"/>
            <w:noProof/>
          </w:rPr>
          <w:t>Ortsübliche Marktmiete einer Wohnung</w:t>
        </w:r>
      </w:hyperlink>
    </w:p>
    <w:p w:rsidR="00B577E9" w:rsidRDefault="00081071" w:rsidP="007541AA">
      <w:pPr>
        <w:pStyle w:val="Verzeichnis1"/>
        <w:ind w:firstLine="113"/>
        <w:rPr>
          <w:rFonts w:asciiTheme="minorHAnsi" w:eastAsiaTheme="minorEastAsia" w:hAnsiTheme="minorHAnsi" w:cstheme="minorBidi"/>
          <w:noProof/>
          <w:sz w:val="22"/>
          <w:lang w:eastAsia="de-DE"/>
        </w:rPr>
      </w:pPr>
      <w:hyperlink w:anchor="_Toc465681744" w:history="1">
        <w:r w:rsidR="00B577E9" w:rsidRPr="002C0181">
          <w:rPr>
            <w:rStyle w:val="Hyperlink"/>
            <w:noProof/>
          </w:rPr>
          <w:t>9</w:t>
        </w:r>
        <w:r w:rsidR="00B577E9">
          <w:rPr>
            <w:rFonts w:asciiTheme="minorHAnsi" w:eastAsiaTheme="minorEastAsia" w:hAnsiTheme="minorHAnsi" w:cstheme="minorBidi"/>
            <w:noProof/>
            <w:sz w:val="22"/>
            <w:lang w:eastAsia="de-DE"/>
          </w:rPr>
          <w:tab/>
        </w:r>
        <w:r w:rsidR="00B577E9" w:rsidRPr="002C0181">
          <w:rPr>
            <w:rStyle w:val="Hyperlink"/>
            <w:noProof/>
          </w:rPr>
          <w:t>Aufwendungen für Dienstjubiläum als Werbungskosten abziehbar</w:t>
        </w:r>
      </w:hyperlink>
    </w:p>
    <w:p w:rsidR="00B577E9" w:rsidRDefault="00081071" w:rsidP="007541AA">
      <w:pPr>
        <w:pStyle w:val="Verzeichnis1"/>
        <w:rPr>
          <w:rFonts w:asciiTheme="minorHAnsi" w:eastAsiaTheme="minorEastAsia" w:hAnsiTheme="minorHAnsi" w:cstheme="minorBidi"/>
          <w:noProof/>
          <w:sz w:val="22"/>
          <w:lang w:eastAsia="de-DE"/>
        </w:rPr>
      </w:pPr>
      <w:hyperlink w:anchor="_Toc465681745" w:history="1">
        <w:r w:rsidR="00B577E9" w:rsidRPr="002C0181">
          <w:rPr>
            <w:rStyle w:val="Hyperlink"/>
            <w:noProof/>
          </w:rPr>
          <w:t>10</w:t>
        </w:r>
        <w:r w:rsidR="00B577E9">
          <w:rPr>
            <w:rFonts w:asciiTheme="minorHAnsi" w:eastAsiaTheme="minorEastAsia" w:hAnsiTheme="minorHAnsi" w:cstheme="minorBidi"/>
            <w:noProof/>
            <w:sz w:val="22"/>
            <w:lang w:eastAsia="de-DE"/>
          </w:rPr>
          <w:tab/>
        </w:r>
        <w:r w:rsidR="00B577E9" w:rsidRPr="002C0181">
          <w:rPr>
            <w:rStyle w:val="Hyperlink"/>
            <w:noProof/>
          </w:rPr>
          <w:t>Abzug eines Disagios</w:t>
        </w:r>
      </w:hyperlink>
    </w:p>
    <w:p w:rsidR="00B577E9" w:rsidRDefault="00081071" w:rsidP="007541AA">
      <w:pPr>
        <w:pStyle w:val="Verzeichnis1"/>
        <w:rPr>
          <w:rFonts w:asciiTheme="minorHAnsi" w:eastAsiaTheme="minorEastAsia" w:hAnsiTheme="minorHAnsi" w:cstheme="minorBidi"/>
          <w:noProof/>
          <w:sz w:val="22"/>
          <w:lang w:eastAsia="de-DE"/>
        </w:rPr>
      </w:pPr>
      <w:hyperlink w:anchor="_Toc465681746" w:history="1">
        <w:r w:rsidR="00B577E9" w:rsidRPr="002C0181">
          <w:rPr>
            <w:rStyle w:val="Hyperlink"/>
            <w:noProof/>
          </w:rPr>
          <w:t>11</w:t>
        </w:r>
        <w:r w:rsidR="00B577E9">
          <w:rPr>
            <w:rFonts w:asciiTheme="minorHAnsi" w:eastAsiaTheme="minorEastAsia" w:hAnsiTheme="minorHAnsi" w:cstheme="minorBidi"/>
            <w:noProof/>
            <w:sz w:val="22"/>
            <w:lang w:eastAsia="de-DE"/>
          </w:rPr>
          <w:tab/>
        </w:r>
        <w:r w:rsidR="00B577E9" w:rsidRPr="002C0181">
          <w:rPr>
            <w:rStyle w:val="Hyperlink"/>
            <w:noProof/>
          </w:rPr>
          <w:t>Weitere Informationen</w:t>
        </w:r>
      </w:hyperlink>
    </w:p>
    <w:p w:rsidR="00D24441" w:rsidRDefault="00D24441" w:rsidP="00AC6080">
      <w:pPr>
        <w:jc w:val="both"/>
      </w:pPr>
      <w:r>
        <w:fldChar w:fldCharType="end"/>
      </w:r>
    </w:p>
    <w:p w:rsidR="00993585" w:rsidRPr="00B2463C" w:rsidRDefault="00993585" w:rsidP="00AC6080">
      <w:pPr>
        <w:spacing w:line="276" w:lineRule="auto"/>
        <w:jc w:val="both"/>
        <w:rPr>
          <w:rFonts w:cs="Arial"/>
          <w:sz w:val="20"/>
          <w:szCs w:val="20"/>
        </w:rPr>
      </w:pPr>
    </w:p>
    <w:p w:rsidR="00993585" w:rsidRPr="009F223B" w:rsidRDefault="00993585" w:rsidP="00AC6080">
      <w:pPr>
        <w:spacing w:after="160" w:line="259" w:lineRule="auto"/>
        <w:jc w:val="both"/>
        <w:sectPr w:rsidR="00993585" w:rsidRPr="009F223B" w:rsidSect="003F07ED">
          <w:headerReference w:type="first" r:id="rId15"/>
          <w:footerReference w:type="first" r:id="rId16"/>
          <w:type w:val="continuous"/>
          <w:pgSz w:w="11906" w:h="16838"/>
          <w:pgMar w:top="1417" w:right="1417" w:bottom="1134" w:left="1417" w:header="708" w:footer="708" w:gutter="0"/>
          <w:cols w:space="708"/>
          <w:docGrid w:linePitch="360"/>
        </w:sectPr>
      </w:pPr>
    </w:p>
    <w:p w:rsidR="00993585" w:rsidRDefault="00993585" w:rsidP="00AC6080">
      <w:pPr>
        <w:jc w:val="both"/>
      </w:pPr>
    </w:p>
    <w:p w:rsidR="00A95BEC" w:rsidRDefault="00A95BEC" w:rsidP="00AC6080">
      <w:pPr>
        <w:jc w:val="both"/>
      </w:pPr>
    </w:p>
    <w:p w:rsidR="00993585" w:rsidRPr="009F223B" w:rsidRDefault="00993585" w:rsidP="00AC6080">
      <w:pPr>
        <w:jc w:val="both"/>
      </w:pPr>
    </w:p>
    <w:p w:rsidR="00993585" w:rsidRDefault="00993585" w:rsidP="00AC6080">
      <w:pPr>
        <w:spacing w:line="276" w:lineRule="auto"/>
        <w:jc w:val="both"/>
        <w:rPr>
          <w:rFonts w:cs="Arial"/>
          <w:b/>
          <w:color w:val="0050EC"/>
        </w:rPr>
      </w:pPr>
      <w:r w:rsidRPr="009F223B">
        <w:rPr>
          <w:rFonts w:cs="Arial"/>
          <w:b/>
          <w:color w:val="0050EC"/>
        </w:rPr>
        <w:t>Allgemeines</w:t>
      </w:r>
    </w:p>
    <w:p w:rsidR="00993585" w:rsidRPr="00152513" w:rsidRDefault="00993585" w:rsidP="00AC6080">
      <w:pPr>
        <w:jc w:val="both"/>
        <w:rPr>
          <w:rFonts w:cs="Arial"/>
        </w:rPr>
      </w:pPr>
      <w:r w:rsidRPr="00152513">
        <w:rPr>
          <w:rFonts w:cs="Arial"/>
        </w:rPr>
        <w:t>Mit dem vorliegenden Mandanten-Informationsbrief möchten wir Sie wieder über verschiedene interessante und aktuelle Themen informieren</w:t>
      </w:r>
      <w:r w:rsidR="006012D8">
        <w:rPr>
          <w:rFonts w:cs="Arial"/>
        </w:rPr>
        <w:t xml:space="preserve"> – e</w:t>
      </w:r>
      <w:r w:rsidRPr="00152513">
        <w:rPr>
          <w:rFonts w:cs="Arial"/>
        </w:rPr>
        <w:t>in bunter Strauß aus Praxisfragen, Rechtsprechung und Gesetzgebung.</w:t>
      </w:r>
    </w:p>
    <w:p w:rsidR="00993585" w:rsidRPr="00152513" w:rsidRDefault="00993585" w:rsidP="00AC6080">
      <w:pPr>
        <w:jc w:val="both"/>
        <w:rPr>
          <w:rFonts w:cs="Arial"/>
        </w:rPr>
      </w:pPr>
    </w:p>
    <w:p w:rsidR="00993585" w:rsidRPr="00152513" w:rsidRDefault="00993585" w:rsidP="00AC6080">
      <w:pPr>
        <w:jc w:val="both"/>
        <w:rPr>
          <w:rFonts w:cs="Arial"/>
        </w:rPr>
      </w:pPr>
      <w:r w:rsidRPr="00152513">
        <w:rPr>
          <w:rFonts w:cs="Arial"/>
        </w:rPr>
        <w:t>Der nächste Mandan</w:t>
      </w:r>
      <w:r w:rsidR="00725CA6">
        <w:rPr>
          <w:rFonts w:cs="Arial"/>
        </w:rPr>
        <w:t xml:space="preserve">ten-Informationsbrief wird am </w:t>
      </w:r>
      <w:r w:rsidR="00725CA6" w:rsidRPr="00E107B4">
        <w:rPr>
          <w:rFonts w:cs="Arial"/>
          <w:b/>
        </w:rPr>
        <w:t>15</w:t>
      </w:r>
      <w:r w:rsidRPr="00E107B4">
        <w:rPr>
          <w:rFonts w:cs="Arial"/>
          <w:b/>
        </w:rPr>
        <w:t xml:space="preserve">. </w:t>
      </w:r>
      <w:r w:rsidR="00725CA6" w:rsidRPr="00E107B4">
        <w:rPr>
          <w:rFonts w:cs="Arial"/>
          <w:b/>
        </w:rPr>
        <w:t>Dezember</w:t>
      </w:r>
      <w:r w:rsidRPr="00E107B4">
        <w:rPr>
          <w:rFonts w:cs="Arial"/>
          <w:b/>
        </w:rPr>
        <w:t xml:space="preserve"> 201</w:t>
      </w:r>
      <w:r w:rsidR="00725CA6" w:rsidRPr="00E107B4">
        <w:rPr>
          <w:rFonts w:cs="Arial"/>
          <w:b/>
        </w:rPr>
        <w:t>6</w:t>
      </w:r>
      <w:r w:rsidRPr="00152513">
        <w:rPr>
          <w:rFonts w:cs="Arial"/>
        </w:rPr>
        <w:t xml:space="preserve"> erscheinen.</w:t>
      </w:r>
    </w:p>
    <w:p w:rsidR="00993585" w:rsidRPr="009F223B" w:rsidRDefault="00993585" w:rsidP="00AC6080">
      <w:pPr>
        <w:jc w:val="both"/>
      </w:pPr>
      <w:r w:rsidRPr="009F223B">
        <w:br w:type="page"/>
      </w:r>
    </w:p>
    <w:p w:rsidR="00993585" w:rsidRDefault="00993585" w:rsidP="00AC6080">
      <w:pPr>
        <w:numPr>
          <w:ilvl w:val="0"/>
          <w:numId w:val="1"/>
        </w:numPr>
        <w:spacing w:line="276" w:lineRule="auto"/>
        <w:ind w:left="426" w:hanging="426"/>
        <w:jc w:val="both"/>
        <w:rPr>
          <w:rFonts w:cs="Arial"/>
          <w:b/>
          <w:color w:val="0050EC"/>
        </w:rPr>
        <w:sectPr w:rsidR="00993585" w:rsidSect="003F07ED">
          <w:headerReference w:type="first" r:id="rId17"/>
          <w:footerReference w:type="first" r:id="rId18"/>
          <w:type w:val="continuous"/>
          <w:pgSz w:w="11906" w:h="16838"/>
          <w:pgMar w:top="1417" w:right="1417" w:bottom="1134" w:left="1417" w:header="708" w:footer="708" w:gutter="0"/>
          <w:cols w:space="708"/>
          <w:docGrid w:linePitch="360"/>
        </w:sectPr>
      </w:pPr>
    </w:p>
    <w:p w:rsidR="00B92764" w:rsidRDefault="00B92764" w:rsidP="00AC6080">
      <w:pPr>
        <w:pStyle w:val="berschrift1"/>
        <w:jc w:val="both"/>
      </w:pPr>
      <w:bookmarkStart w:id="0" w:name="_Toc465681736"/>
      <w:bookmarkStart w:id="1" w:name="_Toc463861014"/>
      <w:bookmarkStart w:id="2" w:name="_Toc463861092"/>
      <w:r>
        <w:lastRenderedPageBreak/>
        <w:t xml:space="preserve">Erbschaftsteuerreform – Es ist </w:t>
      </w:r>
      <w:r w:rsidR="001A1AD2">
        <w:t>vollbracht</w:t>
      </w:r>
      <w:r>
        <w:t>!</w:t>
      </w:r>
      <w:bookmarkEnd w:id="0"/>
    </w:p>
    <w:p w:rsidR="008D46E8" w:rsidRDefault="006012D8" w:rsidP="00AC6080">
      <w:pPr>
        <w:jc w:val="both"/>
      </w:pPr>
      <w:r>
        <w:t>In unserem</w:t>
      </w:r>
      <w:r w:rsidR="00B92764">
        <w:t xml:space="preserve"> letzten Mandanten</w:t>
      </w:r>
      <w:r>
        <w:t>-I</w:t>
      </w:r>
      <w:r w:rsidR="00B92764">
        <w:t>nformation</w:t>
      </w:r>
      <w:r>
        <w:t>sbrief</w:t>
      </w:r>
      <w:r w:rsidR="00B92764">
        <w:t xml:space="preserve"> </w:t>
      </w:r>
      <w:r w:rsidR="001A1AD2">
        <w:t xml:space="preserve">hatten wir Sie über den Stand des Gesetzgebungsverfahrens informiert. </w:t>
      </w:r>
      <w:r w:rsidR="00297637">
        <w:t>Mittlerweile liegen die Ergebnisse des Vermittlungsausschusses vor. Der Bundestag hat über die vorgeschlagenen Änderungen am 30.</w:t>
      </w:r>
      <w:r>
        <w:t>09.</w:t>
      </w:r>
      <w:r w:rsidR="00297637">
        <w:t>2016 abgestimmt und auch der Bundesrat hat der Reform in seiner Sitzung vom</w:t>
      </w:r>
      <w:r>
        <w:t xml:space="preserve"> </w:t>
      </w:r>
      <w:r w:rsidR="00297637">
        <w:t>14.</w:t>
      </w:r>
      <w:r>
        <w:t>10.</w:t>
      </w:r>
      <w:r w:rsidR="00297637">
        <w:t>2016 zugestimmt.</w:t>
      </w:r>
      <w:r w:rsidR="00C4705A">
        <w:t xml:space="preserve"> </w:t>
      </w:r>
    </w:p>
    <w:p w:rsidR="00FA348D" w:rsidRDefault="00FA348D" w:rsidP="00AC6080">
      <w:pPr>
        <w:jc w:val="both"/>
      </w:pPr>
    </w:p>
    <w:p w:rsidR="00FA121A" w:rsidRDefault="00FA348D" w:rsidP="00AC6080">
      <w:pPr>
        <w:jc w:val="both"/>
      </w:pPr>
      <w:r>
        <w:t xml:space="preserve">Die Forderungen des Bundesrates nach deutlicher Verschärfung der Regelungen zur Optionsverschonung – also der vollständigen Steuerbefreiung der Zuwendung von Unternehmensvermögen – sowie der Herausnahme vermögensverwaltend tätiger GmbH &amp; Co. KG`s aus dem Begünstigungskatalog wurden </w:t>
      </w:r>
      <w:r w:rsidR="00FA121A">
        <w:t>(</w:t>
      </w:r>
      <w:r>
        <w:t>zum Glück</w:t>
      </w:r>
      <w:r w:rsidR="00FA121A">
        <w:t>)</w:t>
      </w:r>
      <w:r>
        <w:t xml:space="preserve"> nicht in das Gesetz mit aufgenommen. Allerdings wurden die Regelungen zum sogenannten betrieblichen Verwaltungsvermögen, welches nach der Neuregelung trotz Zugehörigkeit zum Betriebsvermögen nicht an der entsprechenden erbschaftsteuerlichen Begünstigung teilnimmt, noch einmal verschärft. </w:t>
      </w:r>
    </w:p>
    <w:p w:rsidR="00FA121A" w:rsidRDefault="00FA121A" w:rsidP="00AC6080">
      <w:pPr>
        <w:jc w:val="both"/>
      </w:pPr>
    </w:p>
    <w:p w:rsidR="00FA348D" w:rsidRDefault="00FA348D" w:rsidP="00AC6080">
      <w:pPr>
        <w:jc w:val="both"/>
      </w:pPr>
      <w:r>
        <w:t xml:space="preserve">Eine Entschärfung wurde jedoch bei der Bewertung des übertragenen Unternehmensvermögens mit aufgenommen: Der entsprechende Kapitalisierungsfaktor ist nun nicht mehr </w:t>
      </w:r>
      <w:r w:rsidR="00D73E44">
        <w:t xml:space="preserve">an die </w:t>
      </w:r>
      <w:r w:rsidR="00D73E44" w:rsidRPr="00D73E44">
        <w:t xml:space="preserve">langfristig erzielbare Rendite öffentlicher Anleihen </w:t>
      </w:r>
      <w:r>
        <w:t>gekoppelt, sondern wird im Gesetz festgeschrieben</w:t>
      </w:r>
      <w:r w:rsidR="00D73E44">
        <w:t xml:space="preserve"> und kann durch Rechtsverordnung flexibel angepasst werden</w:t>
      </w:r>
      <w:r>
        <w:t>.</w:t>
      </w:r>
      <w:r w:rsidR="009D1590">
        <w:t xml:space="preserve"> Er</w:t>
      </w:r>
      <w:r w:rsidR="00D73E44">
        <w:t xml:space="preserve"> ist nach der Neufassung des Gesetzes nunmehr </w:t>
      </w:r>
      <w:r w:rsidR="00FA121A">
        <w:t xml:space="preserve">bereits </w:t>
      </w:r>
      <w:r w:rsidR="00D73E44">
        <w:t>rückwirkend ab dem 01.01.2016 mit dem Faktor 13,75</w:t>
      </w:r>
      <w:r>
        <w:t xml:space="preserve"> </w:t>
      </w:r>
      <w:r w:rsidR="00D73E44">
        <w:t xml:space="preserve">festgesetzt – eine deutliche Absenkung gegenüber dem ursprünglich </w:t>
      </w:r>
      <w:r w:rsidR="00FA121A">
        <w:t xml:space="preserve">für das Jahr 2016 </w:t>
      </w:r>
      <w:r w:rsidR="00D73E44">
        <w:t xml:space="preserve">festgelegten Wert i.H.v. </w:t>
      </w:r>
      <w:r w:rsidR="00D73E44" w:rsidRPr="00D73E44">
        <w:t>17,86</w:t>
      </w:r>
      <w:r w:rsidR="00D73E44">
        <w:t>.</w:t>
      </w:r>
    </w:p>
    <w:p w:rsidR="00FA348D" w:rsidRDefault="00FA348D" w:rsidP="00AC6080">
      <w:pPr>
        <w:jc w:val="both"/>
      </w:pPr>
    </w:p>
    <w:p w:rsidR="00320A68" w:rsidRDefault="00320A68" w:rsidP="00AC6080">
      <w:pPr>
        <w:jc w:val="both"/>
        <w:rPr>
          <w:b/>
        </w:rPr>
      </w:pPr>
      <w:r>
        <w:rPr>
          <w:b/>
        </w:rPr>
        <w:br w:type="column"/>
      </w:r>
    </w:p>
    <w:p w:rsidR="00320A68" w:rsidRDefault="00320A68" w:rsidP="00AC6080">
      <w:pPr>
        <w:jc w:val="both"/>
        <w:rPr>
          <w:b/>
        </w:rPr>
      </w:pPr>
    </w:p>
    <w:p w:rsidR="00FA348D" w:rsidRPr="00FA121A" w:rsidRDefault="00D73E44" w:rsidP="00AC6080">
      <w:pPr>
        <w:jc w:val="both"/>
        <w:rPr>
          <w:b/>
        </w:rPr>
      </w:pPr>
      <w:r w:rsidRPr="00D73E44">
        <w:rPr>
          <w:b/>
        </w:rPr>
        <w:t>Hinweis</w:t>
      </w:r>
      <w:r>
        <w:t xml:space="preserve">: </w:t>
      </w:r>
      <w:r w:rsidR="00FA348D" w:rsidRPr="00FA121A">
        <w:rPr>
          <w:b/>
        </w:rPr>
        <w:t xml:space="preserve">In unserem Mandanten-Informationsbrief zum Jahreswechsel 2016/2017 werden wir Ihnen die wichtigsten Neuregelungen </w:t>
      </w:r>
      <w:r w:rsidRPr="00FA121A">
        <w:rPr>
          <w:b/>
        </w:rPr>
        <w:t xml:space="preserve">des Erbschaftsteuerreformgesetzes 2016 </w:t>
      </w:r>
      <w:r w:rsidR="00FA348D" w:rsidRPr="00FA121A">
        <w:rPr>
          <w:b/>
        </w:rPr>
        <w:t>vorstellen</w:t>
      </w:r>
      <w:r w:rsidRPr="00FA121A">
        <w:rPr>
          <w:b/>
        </w:rPr>
        <w:t>.</w:t>
      </w:r>
    </w:p>
    <w:p w:rsidR="00BB2581" w:rsidRDefault="00BB2581" w:rsidP="00AC6080">
      <w:pPr>
        <w:pStyle w:val="berschrift1"/>
        <w:jc w:val="both"/>
      </w:pPr>
      <w:bookmarkStart w:id="3" w:name="_Toc465681737"/>
      <w:r>
        <w:t>Meisterbonus</w:t>
      </w:r>
      <w:bookmarkEnd w:id="1"/>
      <w:bookmarkEnd w:id="2"/>
      <w:r w:rsidR="000C3016">
        <w:t xml:space="preserve"> mindert Werbungskostenabzug nicht</w:t>
      </w:r>
      <w:bookmarkEnd w:id="3"/>
    </w:p>
    <w:p w:rsidR="00D24441" w:rsidRPr="00D24441" w:rsidRDefault="00D24441" w:rsidP="00AC6080">
      <w:pPr>
        <w:jc w:val="both"/>
      </w:pPr>
      <w:r w:rsidRPr="00D24441">
        <w:t>Bildung ist Kapital. Viele Gesellen aus Handwerk oder Industrie bilden sich daher beruflich zum Meister bzw. Techniker fort. Die Aufwendungen für die Weiterqualifizierung müssen sie dabei meist selbst tragen.</w:t>
      </w:r>
    </w:p>
    <w:p w:rsidR="00D24441" w:rsidRPr="00D24441" w:rsidRDefault="00D24441" w:rsidP="00AC6080">
      <w:pPr>
        <w:pStyle w:val="berschrift2"/>
        <w:jc w:val="both"/>
      </w:pPr>
      <w:r w:rsidRPr="00D24441">
        <w:t>Nebeneinander zwischen staatlichem Zuschuss und Werbungskosten</w:t>
      </w:r>
    </w:p>
    <w:p w:rsidR="00D24441" w:rsidRPr="00D24441" w:rsidRDefault="00D24441" w:rsidP="00AC6080">
      <w:pPr>
        <w:jc w:val="both"/>
      </w:pPr>
      <w:r w:rsidRPr="00D24441">
        <w:t xml:space="preserve">In vielen Bundesländern wird daher die Fortbildung zum Meister oder einem gleichwertigen Abschluss in Handwerk oder Industrie durch einen staatlichen Zuschuss gefördert (z.B. „Meisterbonus“, „Meister-Extra“). Gleichzeitig können die Aufwendungen für die Meisterausbildung, die die Teilnehmer der Fortbildungsmaßnahme selbst tragen, als Werbungskosten bei den Einkünften aus nichtselbständiger Tätigkeit steuerlich geltend gemacht werden. Streitig war, ob die Werbungkosten des Fortbildungsteilnehmers um den erhaltenen staatlichen Zuschuss zu kürzen sind. </w:t>
      </w:r>
    </w:p>
    <w:p w:rsidR="00D24441" w:rsidRPr="00D24441" w:rsidRDefault="00D24441" w:rsidP="00AC6080">
      <w:pPr>
        <w:pStyle w:val="berschrift2"/>
        <w:jc w:val="both"/>
      </w:pPr>
      <w:r w:rsidRPr="00D24441">
        <w:t>Entscheidung des Finanzgerichts München</w:t>
      </w:r>
    </w:p>
    <w:p w:rsidR="00D24441" w:rsidRPr="00D24441" w:rsidRDefault="00D24441" w:rsidP="00AC6080">
      <w:pPr>
        <w:jc w:val="both"/>
      </w:pPr>
      <w:r w:rsidRPr="00D24441">
        <w:t>Das Finanzgericht München hatte nun über einen bayerischen Fall (Meisterbonus i.H.v. 1.000</w:t>
      </w:r>
      <w:r w:rsidR="00E0072A">
        <w:t> </w:t>
      </w:r>
      <w:r w:rsidRPr="00D24441">
        <w:t>EUR) zu entscheiden. Es kam dabei zu Gunsten des Klägers zu der Auffassung, dass das Finanzamt die Werbungskosten nicht um den erhaltenen Meisterbonus kürzen darf. Die Entscheidung ist rechtskräftig.</w:t>
      </w:r>
    </w:p>
    <w:p w:rsidR="00D24441" w:rsidRPr="00D24441" w:rsidRDefault="00D24441" w:rsidP="00AC6080">
      <w:pPr>
        <w:pStyle w:val="berschrift2"/>
        <w:jc w:val="both"/>
      </w:pPr>
      <w:r w:rsidRPr="00D24441">
        <w:t>Begründung</w:t>
      </w:r>
    </w:p>
    <w:p w:rsidR="00D24441" w:rsidRPr="00D24441" w:rsidRDefault="00D24441" w:rsidP="00AC6080">
      <w:pPr>
        <w:jc w:val="both"/>
      </w:pPr>
      <w:r w:rsidRPr="00D24441">
        <w:t xml:space="preserve">Die vom Kläger getragenen Fortbildungskosten stellen unstrittig Werbungskosten dar. </w:t>
      </w:r>
      <w:r w:rsidR="00E0072A">
        <w:t>Sie</w:t>
      </w:r>
      <w:r w:rsidRPr="00D24441">
        <w:t xml:space="preserve"> können in voller Höhe steuermindernd geltend gemacht werden.</w:t>
      </w:r>
    </w:p>
    <w:p w:rsidR="00D24441" w:rsidRPr="00D24441" w:rsidRDefault="009D1590" w:rsidP="00AC6080">
      <w:pPr>
        <w:jc w:val="both"/>
      </w:pPr>
      <w:r>
        <w:lastRenderedPageBreak/>
        <w:t>Die</w:t>
      </w:r>
      <w:r w:rsidR="00D24441" w:rsidRPr="00D24441">
        <w:t xml:space="preserve"> </w:t>
      </w:r>
      <w:r w:rsidR="00E0072A">
        <w:t>Werbungskosten sind</w:t>
      </w:r>
      <w:r w:rsidR="00D24441" w:rsidRPr="00D24441">
        <w:t xml:space="preserve"> </w:t>
      </w:r>
      <w:r>
        <w:t>insbesondere</w:t>
      </w:r>
      <w:r w:rsidR="00E0072A">
        <w:t xml:space="preserve"> </w:t>
      </w:r>
      <w:r w:rsidR="00D24441" w:rsidRPr="00D24441">
        <w:t xml:space="preserve">nicht nach § 3c Abs. 1 EStG </w:t>
      </w:r>
      <w:r w:rsidR="00E0072A">
        <w:t>zu kürzen</w:t>
      </w:r>
      <w:r w:rsidR="00D24441" w:rsidRPr="00D24441">
        <w:t xml:space="preserve">. </w:t>
      </w:r>
      <w:r w:rsidR="00E0072A">
        <w:t>E</w:t>
      </w:r>
      <w:r w:rsidR="00D24441" w:rsidRPr="00D24441">
        <w:t xml:space="preserve">ine Kürzung </w:t>
      </w:r>
      <w:r w:rsidR="00E0072A">
        <w:t xml:space="preserve">wäre nur durchzuführen, </w:t>
      </w:r>
      <w:r w:rsidR="00D24441" w:rsidRPr="00D24441">
        <w:t>wenn die Kosten im Zusammenhang mit st</w:t>
      </w:r>
      <w:r w:rsidR="00E0072A">
        <w:t xml:space="preserve">euerfreien Einnahmen stünden. </w:t>
      </w:r>
      <w:r w:rsidR="00D24441" w:rsidRPr="00D24441">
        <w:t xml:space="preserve">Dies ist jedoch nicht der Fall. Als Einnahmen kommen hier zum einen der Arbeitslohn und zum anderen der Meisterbonus in Betracht. Beide sind aber nicht steuerfrei. Der Arbeitslohn des Klägers ist steuerpflichtig. Der Meisterbonus ist </w:t>
      </w:r>
      <w:r w:rsidR="00E0072A">
        <w:t xml:space="preserve">bereits </w:t>
      </w:r>
      <w:r w:rsidR="00D24441" w:rsidRPr="00D24441">
        <w:t>nicht steuerbar</w:t>
      </w:r>
      <w:r w:rsidR="00E0072A">
        <w:t xml:space="preserve"> (und eben nicht steuerfrei)</w:t>
      </w:r>
      <w:r w:rsidR="00D24441" w:rsidRPr="00D24441">
        <w:t>.</w:t>
      </w:r>
    </w:p>
    <w:p w:rsidR="00BB2581" w:rsidRDefault="00D24441" w:rsidP="00AC6080">
      <w:pPr>
        <w:jc w:val="both"/>
      </w:pPr>
      <w:r w:rsidRPr="00D24441">
        <w:t>Außerdem würde bzgl. des Meisterbonus nach Auffassung des Gerichts schon kein wirtschaftlicher Zusammenhang mit den entstandenen Fortbildungskosten bestehen.</w:t>
      </w:r>
      <w:r w:rsidR="00725CA6">
        <w:t xml:space="preserve"> </w:t>
      </w:r>
      <w:r w:rsidRPr="00D24441">
        <w:t>Im Ergebnis können also sämtliche Werbungskosten steuermindernd geltend gemacht und der Meisterbonus ohne Steuerbelastung vereinnahmt werden.</w:t>
      </w:r>
    </w:p>
    <w:p w:rsidR="00B61DCD" w:rsidRDefault="00B61DCD" w:rsidP="00AC6080">
      <w:pPr>
        <w:pStyle w:val="berschrift2"/>
        <w:jc w:val="both"/>
      </w:pPr>
      <w:r>
        <w:t>Reaktion der Finanzverwaltung</w:t>
      </w:r>
    </w:p>
    <w:p w:rsidR="00B61DCD" w:rsidRDefault="00B61DCD" w:rsidP="00AC6080">
      <w:pPr>
        <w:jc w:val="both"/>
      </w:pPr>
      <w:r w:rsidRPr="00B61DCD">
        <w:t>Erfreulicher</w:t>
      </w:r>
      <w:r w:rsidR="006012D8">
        <w:t>w</w:t>
      </w:r>
      <w:r w:rsidRPr="00B61DCD">
        <w:t>eise hat das Bayerische Landesamt für Steuern mit einer aktuellen Verfügung die Entscheidung des Finanzgerichts anerkannt. Die Argumentation des Gerichts sei stichhaltig und überzeugend, so die Finanzbehörde</w:t>
      </w:r>
      <w:r>
        <w:t>.</w:t>
      </w:r>
    </w:p>
    <w:p w:rsidR="00D24441" w:rsidRDefault="000C3016" w:rsidP="00AC6080">
      <w:pPr>
        <w:pStyle w:val="berschrift1"/>
        <w:jc w:val="both"/>
      </w:pPr>
      <w:bookmarkStart w:id="4" w:name="_Toc465681738"/>
      <w:r>
        <w:t>Sparer-P</w:t>
      </w:r>
      <w:r w:rsidR="00D24441">
        <w:t xml:space="preserve">auschbeträge noch </w:t>
      </w:r>
      <w:r w:rsidR="00BC01AF">
        <w:t>vor Jahresende</w:t>
      </w:r>
      <w:r w:rsidR="00D24441">
        <w:t xml:space="preserve"> nutzen</w:t>
      </w:r>
      <w:bookmarkEnd w:id="4"/>
    </w:p>
    <w:p w:rsidR="005214B2" w:rsidRDefault="000C3016" w:rsidP="00AC6080">
      <w:pPr>
        <w:pStyle w:val="berschrift2"/>
        <w:jc w:val="both"/>
      </w:pPr>
      <w:r>
        <w:t>Sparer-Pauschbeträge</w:t>
      </w:r>
    </w:p>
    <w:p w:rsidR="000C3016" w:rsidRDefault="000C3016" w:rsidP="00AC6080">
      <w:pPr>
        <w:jc w:val="both"/>
      </w:pPr>
      <w:r>
        <w:t xml:space="preserve">Bei den Einkünften aus Kapitalvermögen (z.B. Zinsen, Dividenden, Aktiengewinne/ </w:t>
      </w:r>
      <w:r w:rsidR="006012D8">
        <w:t>-</w:t>
      </w:r>
      <w:r>
        <w:t>verluste</w:t>
      </w:r>
      <w:r w:rsidR="00EB1C89">
        <w:t>, Ausschüttungen von Fonds</w:t>
      </w:r>
      <w:r>
        <w:t>) steht jedem Steuerzahler ein Pauschbetrag i.H.v. 801 EUR zu.</w:t>
      </w:r>
      <w:r w:rsidR="00B61DCD">
        <w:t xml:space="preserve"> Ehegatten wird ein gemeinsamer Sparer-Pauschbetrag i.H.v. 1.602 EUR gewährt.</w:t>
      </w:r>
      <w:r w:rsidR="00EB1C89">
        <w:t xml:space="preserve"> Bis zur Höhe des Pauschbetrags entfällt damit eine Besteuerung der </w:t>
      </w:r>
      <w:r w:rsidR="00E0072A">
        <w:t>Kapitale</w:t>
      </w:r>
      <w:r w:rsidR="00EB1C89">
        <w:t>inkünfte.</w:t>
      </w:r>
    </w:p>
    <w:p w:rsidR="003C7D32" w:rsidRDefault="003C7D32" w:rsidP="00AC6080">
      <w:pPr>
        <w:pStyle w:val="berschrift2"/>
        <w:jc w:val="both"/>
      </w:pPr>
      <w:r>
        <w:t>Freistellungsaufträge beim Kreditinstitut</w:t>
      </w:r>
    </w:p>
    <w:p w:rsidR="00EB1C89" w:rsidRDefault="00EB1C89" w:rsidP="00AC6080">
      <w:pPr>
        <w:jc w:val="both"/>
      </w:pPr>
      <w:r>
        <w:t xml:space="preserve">Wenn </w:t>
      </w:r>
      <w:r w:rsidR="00E0072A">
        <w:t xml:space="preserve">bei einem Kreditinstitut </w:t>
      </w:r>
      <w:r>
        <w:t xml:space="preserve">ein Freistellungsauftrag gestellt </w:t>
      </w:r>
      <w:r w:rsidR="00E0072A">
        <w:t>wurde</w:t>
      </w:r>
      <w:r>
        <w:t xml:space="preserve">, </w:t>
      </w:r>
      <w:r w:rsidR="00E0072A">
        <w:t>werden</w:t>
      </w:r>
      <w:r>
        <w:t xml:space="preserve"> die Sparer-Pauschbeträge bereits unterjährig </w:t>
      </w:r>
      <w:r w:rsidR="00725CA6">
        <w:t>durch das</w:t>
      </w:r>
      <w:r>
        <w:t xml:space="preserve"> jeweilige Kreditinstitut de</w:t>
      </w:r>
      <w:r w:rsidR="00E0072A">
        <w:t>s</w:t>
      </w:r>
      <w:r>
        <w:t xml:space="preserve"> Steuerzahler</w:t>
      </w:r>
      <w:r w:rsidR="00E0072A">
        <w:t>s</w:t>
      </w:r>
      <w:r>
        <w:t xml:space="preserve"> berücksichtigt. </w:t>
      </w:r>
      <w:r w:rsidR="00E0072A">
        <w:t>Es wird d</w:t>
      </w:r>
      <w:r>
        <w:t>ann erst gar keine Abgeltungssteuer i.H.v. 25</w:t>
      </w:r>
      <w:r w:rsidR="00725CA6">
        <w:t xml:space="preserve"> </w:t>
      </w:r>
      <w:r>
        <w:t xml:space="preserve">% (zzgl. Soli und Kirchensteuer) einbehalten. Im Idealfall erspart dies die mühsame Belegsuche bei </w:t>
      </w:r>
      <w:r>
        <w:lastRenderedPageBreak/>
        <w:t>der Erstellung der Einkommensteuererklärung</w:t>
      </w:r>
      <w:r w:rsidR="00CC1B22">
        <w:t xml:space="preserve">. </w:t>
      </w:r>
      <w:r w:rsidR="00E0072A">
        <w:t xml:space="preserve">Die Angabe der </w:t>
      </w:r>
      <w:r>
        <w:t xml:space="preserve">entsprechenden Einkünfte </w:t>
      </w:r>
      <w:r w:rsidR="00E0072A">
        <w:t>in der Steuererklärung erübrigt sich dann nämlich.</w:t>
      </w:r>
    </w:p>
    <w:p w:rsidR="00CC1B22" w:rsidRDefault="00E0072A" w:rsidP="00AC6080">
      <w:pPr>
        <w:jc w:val="both"/>
      </w:pPr>
      <w:r>
        <w:t xml:space="preserve">Wurde </w:t>
      </w:r>
      <w:r w:rsidR="00CC1B22">
        <w:t xml:space="preserve">kein Freistellungsauftrag </w:t>
      </w:r>
      <w:r w:rsidR="00725CA6">
        <w:t>gestellt, we</w:t>
      </w:r>
      <w:r>
        <w:t>rden unterjährig</w:t>
      </w:r>
      <w:r w:rsidRPr="00E0072A">
        <w:t xml:space="preserve"> </w:t>
      </w:r>
      <w:r>
        <w:t xml:space="preserve">vom Kreditinstitut Abgeltungssteuern einbehalten. Damit der Sparer-Pauschbetrag in Anspruch genommen werden kann, muss dann eine </w:t>
      </w:r>
      <w:r w:rsidR="00CC1B22">
        <w:t xml:space="preserve">Einkommensteuererklärung </w:t>
      </w:r>
      <w:r>
        <w:t>inklusive der Kapitalerträge abgegeben werden</w:t>
      </w:r>
      <w:r w:rsidR="00CC1B22">
        <w:t>.</w:t>
      </w:r>
    </w:p>
    <w:p w:rsidR="003C7D32" w:rsidRDefault="00B63FDF" w:rsidP="00AC6080">
      <w:pPr>
        <w:pStyle w:val="berschrift2"/>
        <w:jc w:val="both"/>
      </w:pPr>
      <w:r>
        <w:t>Änderung</w:t>
      </w:r>
      <w:r w:rsidR="003C7D32">
        <w:t xml:space="preserve"> von Freistellungsaufträgen</w:t>
      </w:r>
    </w:p>
    <w:p w:rsidR="00B63FDF" w:rsidRDefault="00B63FDF" w:rsidP="00AC6080">
      <w:pPr>
        <w:jc w:val="both"/>
      </w:pPr>
      <w:r>
        <w:t xml:space="preserve">Gestellte Freistellungsaufträge </w:t>
      </w:r>
      <w:r w:rsidR="00E0072A">
        <w:t xml:space="preserve">können </w:t>
      </w:r>
      <w:r>
        <w:t xml:space="preserve">unterjährig beliebig oft geändert werden. Sie gelten dann jeweils </w:t>
      </w:r>
      <w:r w:rsidR="00E0072A">
        <w:t xml:space="preserve">rückwirkend </w:t>
      </w:r>
      <w:r>
        <w:t xml:space="preserve">ab 01.01. des betreffenden Kalenderjahres. Für </w:t>
      </w:r>
      <w:r w:rsidR="00E0072A">
        <w:t xml:space="preserve">bereits </w:t>
      </w:r>
      <w:r>
        <w:t>zurückliegende Kalenderjahre ist eine Änderung jedoch nicht möglich.</w:t>
      </w:r>
    </w:p>
    <w:p w:rsidR="00B63FDF" w:rsidRDefault="0012609A" w:rsidP="00AC6080">
      <w:pPr>
        <w:jc w:val="both"/>
      </w:pPr>
      <w:r>
        <w:t>Gesetzlich wäre ein solcher Antrag noch bis zum letzten Werktag eines Jahres zulässig (z.B. 30.12.).</w:t>
      </w:r>
      <w:r w:rsidRPr="0012609A">
        <w:t xml:space="preserve"> </w:t>
      </w:r>
      <w:r>
        <w:t xml:space="preserve">Viele Kreditinstitute lassen eine Änderung des Freistellungsauftrags aber </w:t>
      </w:r>
      <w:r w:rsidRPr="006679E0">
        <w:rPr>
          <w:b/>
        </w:rPr>
        <w:t xml:space="preserve">längstens bis </w:t>
      </w:r>
      <w:r w:rsidR="00725CA6" w:rsidRPr="00725CA6">
        <w:t>zum</w:t>
      </w:r>
      <w:r w:rsidR="00725CA6">
        <w:rPr>
          <w:b/>
        </w:rPr>
        <w:t xml:space="preserve"> </w:t>
      </w:r>
      <w:r w:rsidRPr="006679E0">
        <w:rPr>
          <w:b/>
        </w:rPr>
        <w:t>15.12.</w:t>
      </w:r>
      <w:r>
        <w:t xml:space="preserve"> eines Kalenderjahres zu.</w:t>
      </w:r>
    </w:p>
    <w:p w:rsidR="00B63FDF" w:rsidRDefault="00B63FDF" w:rsidP="00AC6080">
      <w:pPr>
        <w:jc w:val="both"/>
      </w:pPr>
      <w:r>
        <w:t xml:space="preserve">Es bietet sich derzeit also an, die bestehenden Freistellungsaufträge zu prüfen. </w:t>
      </w:r>
    </w:p>
    <w:p w:rsidR="00B63FDF" w:rsidRDefault="00B63FDF" w:rsidP="00AC6080">
      <w:pPr>
        <w:pStyle w:val="berschrift2"/>
        <w:jc w:val="both"/>
      </w:pPr>
      <w:r>
        <w:t>Beispiel</w:t>
      </w:r>
    </w:p>
    <w:p w:rsidR="00B63FDF" w:rsidRDefault="00B63FDF" w:rsidP="00AC6080">
      <w:pPr>
        <w:jc w:val="both"/>
      </w:pPr>
      <w:r>
        <w:t>Ein Steuerzahler hat für das Jahr 2016 bei Bank A einen Freistellungsauftrag i.H.v. 701 EUR erteilt und bei Bank B einen Freistellungsauftrag i.H.v. 100 EUR. Aufgrund der Aufstockung seines Aktiendepots bei Bank B betragen seine Dividendenerträge im Jahr 2016 bisher bereits 350 EUR. Soweit der Freistellungsauftrag überschritten wurde (= 250 EUR) hat Bank B also Abgeltungssteuer (incl. Soli und Kirchensteuer) einbehalten.</w:t>
      </w:r>
    </w:p>
    <w:p w:rsidR="00B63FDF" w:rsidRDefault="00B63FDF" w:rsidP="00AC6080">
      <w:pPr>
        <w:jc w:val="both"/>
      </w:pPr>
      <w:r>
        <w:t>Bei Bank A werden im Jahr 2016 nur Zinserträge i.H.v. 200 EUR anfallen. Dort ist somit ein überschüssiger Freistellungauftrag i.H.v. 501 EUR vorhanden.</w:t>
      </w:r>
    </w:p>
    <w:p w:rsidR="00B63FDF" w:rsidRDefault="00B63FDF" w:rsidP="00AC6080">
      <w:pPr>
        <w:jc w:val="both"/>
      </w:pPr>
      <w:r>
        <w:t>Im Ergebnis sind die Freistellungsaufträge des Steuerzahlers auf die Banken A und B ungünstig verteilt.</w:t>
      </w:r>
    </w:p>
    <w:p w:rsidR="00B63FDF" w:rsidRDefault="00B63FDF" w:rsidP="00AC6080">
      <w:pPr>
        <w:jc w:val="both"/>
      </w:pPr>
    </w:p>
    <w:p w:rsidR="00B63FDF" w:rsidRDefault="00B63FDF" w:rsidP="00AC6080">
      <w:pPr>
        <w:jc w:val="both"/>
      </w:pPr>
      <w:r>
        <w:t xml:space="preserve">Der Steuerzahler kann noch bis </w:t>
      </w:r>
      <w:r w:rsidR="00E0072A">
        <w:t xml:space="preserve">30.12.2016 (bzw. </w:t>
      </w:r>
      <w:r>
        <w:t>15.12.2016</w:t>
      </w:r>
      <w:r w:rsidR="00E0072A">
        <w:t>)</w:t>
      </w:r>
      <w:r>
        <w:t xml:space="preserve"> </w:t>
      </w:r>
      <w:r w:rsidR="00105B2D">
        <w:t xml:space="preserve">die Freistellungsaufträge bei Bank A und B zu seinen Gunsten ändern. Dadurch kann bei Bank B ein zusätzlicher </w:t>
      </w:r>
      <w:r w:rsidR="00725CA6">
        <w:lastRenderedPageBreak/>
        <w:t>Pauschbetrag</w:t>
      </w:r>
      <w:r w:rsidR="00105B2D">
        <w:t xml:space="preserve"> i.H.v. 250 EUR berücksichtigt werden.</w:t>
      </w:r>
    </w:p>
    <w:p w:rsidR="00105B2D" w:rsidRDefault="00105B2D" w:rsidP="00AC6080">
      <w:pPr>
        <w:jc w:val="both"/>
      </w:pPr>
      <w:r>
        <w:t>Der Steuerzahler erhält dann die bisher von Bank B einbehaltenen Abzugssteuern erstattet.</w:t>
      </w:r>
    </w:p>
    <w:p w:rsidR="003C7D32" w:rsidRDefault="003C7D32" w:rsidP="00AC6080">
      <w:pPr>
        <w:pStyle w:val="berschrift2"/>
        <w:jc w:val="both"/>
      </w:pPr>
      <w:r>
        <w:t>NV-Bescheinigung</w:t>
      </w:r>
    </w:p>
    <w:p w:rsidR="005214B2" w:rsidRDefault="00105B2D" w:rsidP="00AC6080">
      <w:pPr>
        <w:jc w:val="both"/>
      </w:pPr>
      <w:r>
        <w:t>Sind die voraussichtlichen Einkünfte des Steuerzahlers so niedrig, dass ohnehin keine Einkommensteuerbelastung entsteht (z.B. Einkünfte unter Grundfreibetrag von 8.652 EUR), kann eine sog. „Nichtveranlagungsbescheinigung“ (NV-Bescheinigung) beim Finanzamt beantragt werden. Wird diese Bescheinigung beim Kreditinstitut eingereicht, wird ebenfalls kein Steuerabzug auf die Kapitaleinkünfte vorgenommen.</w:t>
      </w:r>
    </w:p>
    <w:p w:rsidR="00105B2D" w:rsidRDefault="00105B2D" w:rsidP="00AC6080">
      <w:pPr>
        <w:jc w:val="both"/>
      </w:pPr>
      <w:r>
        <w:t>Dieses Verfahren bietet sich häufig bei Kindern oder Rentner mit niedrigen Renteneinkünften an.</w:t>
      </w:r>
    </w:p>
    <w:p w:rsidR="005214B2" w:rsidRDefault="003C7D32" w:rsidP="00AC6080">
      <w:pPr>
        <w:pStyle w:val="berschrift1"/>
        <w:jc w:val="both"/>
      </w:pPr>
      <w:bookmarkStart w:id="5" w:name="_Toc465681739"/>
      <w:r w:rsidRPr="003C7D32">
        <w:t>Verlustbescheinigungen noch bis 15.12. geschickt nutzen</w:t>
      </w:r>
      <w:bookmarkEnd w:id="5"/>
    </w:p>
    <w:p w:rsidR="00BD2F30" w:rsidRDefault="00BD2F30" w:rsidP="00AC6080">
      <w:pPr>
        <w:jc w:val="both"/>
      </w:pPr>
      <w:r>
        <w:t>Derzeit herrschen schwierige Zeiten auf den Aktienmärkten weltweit. Besonders am Jahresanfang wurden den Anlegern zum Teil herbe Verluste beschert. Umso ärgerlicher ist es, die Verluste steuerlich nur in beschränktem Umfang geltend machen zu können.</w:t>
      </w:r>
    </w:p>
    <w:p w:rsidR="005214B2" w:rsidRDefault="00BD2F30" w:rsidP="00AC6080">
      <w:pPr>
        <w:pStyle w:val="berschrift2"/>
        <w:jc w:val="both"/>
      </w:pPr>
      <w:r>
        <w:t xml:space="preserve">Beschränkung der </w:t>
      </w:r>
      <w:r w:rsidR="003C7D32">
        <w:t>Verlustverrechnung</w:t>
      </w:r>
    </w:p>
    <w:p w:rsidR="00BD2F30" w:rsidRDefault="00BD2F30" w:rsidP="00AC6080">
      <w:pPr>
        <w:jc w:val="both"/>
      </w:pPr>
      <w:r>
        <w:t>Verluste aus Aktienverkäufen im Privatvermögen können nicht mit anderen positiven Einkünften (z.B. aus Gewerbebetrieb) verrechnet werden. Sie können nur von evtl. Gewinnen aus anderen Aktienverkäufen abgezogen werden.</w:t>
      </w:r>
    </w:p>
    <w:p w:rsidR="00173A98" w:rsidRDefault="00173A98" w:rsidP="00AC6080">
      <w:pPr>
        <w:pStyle w:val="berschrift2"/>
        <w:jc w:val="both"/>
      </w:pPr>
      <w:r>
        <w:t>Verlustverrechnung durch das Kreditinstitut</w:t>
      </w:r>
    </w:p>
    <w:p w:rsidR="00105B2D" w:rsidRDefault="00173A98" w:rsidP="00AC6080">
      <w:pPr>
        <w:jc w:val="both"/>
      </w:pPr>
      <w:r>
        <w:t>Während des Jahres werden Gewinne und Verluste aus Aktienverkäufen von der Depotbank automatisch vorgenommen. Evtl. verbleibende Verluste werden ins nächste Jahr vorgetragen.</w:t>
      </w:r>
    </w:p>
    <w:p w:rsidR="00CF587F" w:rsidRDefault="00CF587F" w:rsidP="00AC6080">
      <w:pPr>
        <w:jc w:val="both"/>
      </w:pPr>
      <w:r>
        <w:t xml:space="preserve">Bei mehreren Depots bzw. Konten eines Inhabers bei demselben Kreditinstitut, wird zwischen den verschiedenen Depots bzw. Konten bankintern eine Verlustverrechnung durchgeführt. Es werden also beispielsweise verbleibende Verluste aus einem Depot mit </w:t>
      </w:r>
      <w:r>
        <w:lastRenderedPageBreak/>
        <w:t>Gewinnen aus einem anderen Depot verrechnet.</w:t>
      </w:r>
    </w:p>
    <w:p w:rsidR="003C7D32" w:rsidRDefault="003C7D32" w:rsidP="00AC6080">
      <w:pPr>
        <w:pStyle w:val="berschrift2"/>
        <w:jc w:val="both"/>
      </w:pPr>
      <w:r>
        <w:t>Depotübergreifend</w:t>
      </w:r>
      <w:r w:rsidR="00CF587F">
        <w:t>e bzw. bankübergreifende Verlustverrechnung</w:t>
      </w:r>
      <w:r w:rsidR="0012609A">
        <w:t xml:space="preserve"> muss bis 15.12 beantragt werden</w:t>
      </w:r>
    </w:p>
    <w:p w:rsidR="00CF587F" w:rsidRDefault="00CF587F" w:rsidP="00AC6080">
      <w:pPr>
        <w:jc w:val="both"/>
      </w:pPr>
      <w:r>
        <w:t>Die depotübergreifende Verlustverrechnung funktioniert jedoch nicht, wenn die Depots bei verschiedenen Kreditinstituten bestehen. Soll eine solche bankübergreifende Verlustverrechnung stattfinden, muss dies im Rahmen der Einkommensteuererklärung erfolgen.</w:t>
      </w:r>
    </w:p>
    <w:p w:rsidR="00CF587F" w:rsidRDefault="00CF587F" w:rsidP="00AC6080">
      <w:pPr>
        <w:jc w:val="both"/>
      </w:pPr>
      <w:r>
        <w:t>Hierzu muss bei der Bank mit den verbleibenden verrechenbaren Verlusten eine entsprechende Bescheinigung beantragt und beim Finanzamt zusammen mit der Einkommensteuererklärung eingereicht werden.</w:t>
      </w:r>
      <w:r w:rsidRPr="00CF587F">
        <w:t xml:space="preserve"> </w:t>
      </w:r>
      <w:r>
        <w:t>Im Jahr nach der Ausstellung der Bescheinigung startet der Verlustverrechnungstopf bei dieser Bank wieder mit null.</w:t>
      </w:r>
    </w:p>
    <w:p w:rsidR="00CF587F" w:rsidRDefault="00CF587F" w:rsidP="00AC6080">
      <w:pPr>
        <w:jc w:val="both"/>
      </w:pPr>
      <w:r>
        <w:t xml:space="preserve">Der Antrag auf Ausstellung einer entsprechenden Verlustbescheinigung ist jedoch </w:t>
      </w:r>
      <w:r w:rsidRPr="00CF587F">
        <w:rPr>
          <w:b/>
        </w:rPr>
        <w:t>nur bis 15.12.</w:t>
      </w:r>
      <w:r>
        <w:t xml:space="preserve"> eines Jahres möglich.</w:t>
      </w:r>
    </w:p>
    <w:p w:rsidR="003C7D32" w:rsidRDefault="003C7D32" w:rsidP="00AC6080">
      <w:pPr>
        <w:pStyle w:val="berschrift2"/>
        <w:jc w:val="both"/>
      </w:pPr>
      <w:r>
        <w:t>Ehegattenübergreifend</w:t>
      </w:r>
      <w:r w:rsidR="00CF587F">
        <w:t>e Verlustverrechnung</w:t>
      </w:r>
    </w:p>
    <w:p w:rsidR="00CF587F" w:rsidRDefault="00CF587F" w:rsidP="00AC6080">
      <w:pPr>
        <w:jc w:val="both"/>
      </w:pPr>
      <w:r>
        <w:t>Sofern Ehegatten ihre (Einzel-)Depots bei derselbe</w:t>
      </w:r>
      <w:r w:rsidR="0012609A">
        <w:t>n Bank haben, ist eine Verlustverrechnung zwischen den beiden Depots möglich. Voraussetzung ist jedoch ein gemeinsamer Freistellungsauftrag der Ehegatten bei dieser Bank. Dieser kann (z.B. wenn ausschließlich die Verlustverrechnung erreicht werden soll) auch auf 0 EUR lauten.</w:t>
      </w:r>
    </w:p>
    <w:p w:rsidR="00D24441" w:rsidRDefault="00D24441" w:rsidP="00AC6080">
      <w:pPr>
        <w:pStyle w:val="berschrift1"/>
        <w:jc w:val="both"/>
      </w:pPr>
      <w:bookmarkStart w:id="6" w:name="_Toc465681740"/>
      <w:r>
        <w:t>Betriebsveranstaltungen</w:t>
      </w:r>
      <w:bookmarkEnd w:id="6"/>
    </w:p>
    <w:p w:rsidR="006679E0" w:rsidRDefault="006679E0" w:rsidP="00AC6080">
      <w:pPr>
        <w:jc w:val="both"/>
      </w:pPr>
      <w:r>
        <w:t xml:space="preserve">Bald beginnt wieder die Weihnachtszeit und damit auch die Zeit der Weihnachtsfeiern. </w:t>
      </w:r>
      <w:r w:rsidR="004458C3">
        <w:t>F</w:t>
      </w:r>
      <w:r w:rsidR="00DE3C9F">
        <w:t xml:space="preserve">ast alle Betriebe richten entsprechende Feiern aus. </w:t>
      </w:r>
      <w:r>
        <w:t xml:space="preserve">Neben deren Planung und Organisation </w:t>
      </w:r>
      <w:r w:rsidR="0001085B">
        <w:t>sind hierbei jedoch – wie bei allen Betriebsveranstaltungen (Jubiläen, Betriebsausflug…) – einige steuerliche Fallstricke zu beachten.</w:t>
      </w:r>
    </w:p>
    <w:p w:rsidR="00CF587F" w:rsidRDefault="0001085B" w:rsidP="00AC6080">
      <w:pPr>
        <w:jc w:val="both"/>
      </w:pPr>
      <w:r>
        <w:t>Zwar sind d</w:t>
      </w:r>
      <w:r w:rsidR="006679E0">
        <w:t xml:space="preserve">ie Kosten für eine </w:t>
      </w:r>
      <w:r>
        <w:t>Betriebsveranstaltung</w:t>
      </w:r>
      <w:r w:rsidR="006679E0">
        <w:t xml:space="preserve"> für den Unternehmer i.d.R. ertragsteuerlich absetzbar. Vorsicht ist jedoch beim Vorsteuerabzug und der Versteuerung als Arbeitslohn bei den </w:t>
      </w:r>
      <w:r>
        <w:t xml:space="preserve">eingeladenen </w:t>
      </w:r>
      <w:r w:rsidR="006679E0">
        <w:t>Arbeitnehmern geboten.</w:t>
      </w:r>
    </w:p>
    <w:p w:rsidR="008D23A2" w:rsidRDefault="006679E0" w:rsidP="00AC6080">
      <w:pPr>
        <w:pStyle w:val="berschrift2"/>
        <w:jc w:val="both"/>
      </w:pPr>
      <w:r>
        <w:lastRenderedPageBreak/>
        <w:t>Vorsteuerabzug</w:t>
      </w:r>
    </w:p>
    <w:p w:rsidR="00541234" w:rsidRDefault="00BC01AF" w:rsidP="00AC6080">
      <w:pPr>
        <w:jc w:val="both"/>
      </w:pPr>
      <w:r>
        <w:t xml:space="preserve">Der Vorsteuerabzug ist nur möglich, wenn der Unternehmer Leistungen für sein Unternehmen bezieht. </w:t>
      </w:r>
      <w:r w:rsidR="00541234">
        <w:t>Der Vorsteuerabzug scheidet dagegen bei Leistungen, die für den privaten Bereich bezogen werden</w:t>
      </w:r>
      <w:r w:rsidR="007E4EDC">
        <w:t>,</w:t>
      </w:r>
      <w:r w:rsidR="00541234">
        <w:t xml:space="preserve"> aus. </w:t>
      </w:r>
    </w:p>
    <w:p w:rsidR="006679E0" w:rsidRDefault="00541234" w:rsidP="00AC6080">
      <w:pPr>
        <w:jc w:val="both"/>
      </w:pPr>
      <w:r>
        <w:t xml:space="preserve">Da Betriebsveranstaltungen neben dem betrieblichen immer auch ein gesellschaftlicher Charakter innewohnt, ist die Abgrenzung schwierig. Die Finanzverwaltung wendet daher eine typisierende betragsmäßige </w:t>
      </w:r>
      <w:r w:rsidRPr="00541234">
        <w:rPr>
          <w:b/>
        </w:rPr>
        <w:t>Grenze</w:t>
      </w:r>
      <w:r>
        <w:t xml:space="preserve"> zur Einordnung der Aufwendungen an. Betragen die Kosten für die Betriebsveranstaltung je Arbeitnehmer nicht mehr als 110 EUR (brutto), so wird davon ausgegangen, dass der Leistungsbezug überwiegend für das Unternehmen erfolgt. Ein Vorsteuerabzug ist dann </w:t>
      </w:r>
      <w:r w:rsidR="00F72E3A">
        <w:t>aus</w:t>
      </w:r>
      <w:r>
        <w:t xml:space="preserve"> sämtliche</w:t>
      </w:r>
      <w:r w:rsidR="00F72E3A">
        <w:t>n</w:t>
      </w:r>
      <w:r>
        <w:t xml:space="preserve"> Aufwendungen in voller Höhe möglich.</w:t>
      </w:r>
    </w:p>
    <w:p w:rsidR="006679E0" w:rsidRDefault="006679E0" w:rsidP="00AC6080">
      <w:pPr>
        <w:pStyle w:val="berschrift2"/>
        <w:jc w:val="both"/>
      </w:pPr>
      <w:r>
        <w:t>Arbeitslohn</w:t>
      </w:r>
    </w:p>
    <w:p w:rsidR="006679E0" w:rsidRDefault="00F72E3A" w:rsidP="00AC6080">
      <w:pPr>
        <w:jc w:val="both"/>
      </w:pPr>
      <w:r>
        <w:t xml:space="preserve">Lohnsteuerlich und sozialversicherungsrechtlich ist zu beachten, dass die Teilnahme eines </w:t>
      </w:r>
      <w:r w:rsidR="006012D8">
        <w:t>Arbeitnehmers</w:t>
      </w:r>
      <w:r>
        <w:t xml:space="preserve"> an einer Feier auf Kosten des Arbeitgebers grundsätzlich zu steuer- und versicherungspflichtigem Arbeitslohn führt. Ausgenommen hiervon sind lediglich Zuwendungen des Arbeitgebers im Rahmen von üblichen Betriebsveranstal</w:t>
      </w:r>
      <w:r w:rsidR="00197301">
        <w:t xml:space="preserve">tungen (z.B. Weihnachtsfeiern), soweit sie je Arbeitnehmer einen </w:t>
      </w:r>
      <w:r w:rsidR="00197301" w:rsidRPr="00197301">
        <w:rPr>
          <w:b/>
        </w:rPr>
        <w:t>Freibetrag</w:t>
      </w:r>
      <w:r w:rsidR="00197301">
        <w:t xml:space="preserve"> von 110 EUR nicht übersteigen.</w:t>
      </w:r>
    </w:p>
    <w:p w:rsidR="00197301" w:rsidRDefault="00197301" w:rsidP="00AC6080">
      <w:pPr>
        <w:spacing w:after="120"/>
        <w:jc w:val="both"/>
      </w:pPr>
      <w:r>
        <w:t xml:space="preserve">Betragen die Aufwendungen des Arbeitgebers je Arbeitnehmer mehr als 110 EUR, so ist lediglich der </w:t>
      </w:r>
      <w:r w:rsidRPr="00197301">
        <w:rPr>
          <w:b/>
        </w:rPr>
        <w:t>übersteigende</w:t>
      </w:r>
      <w:r>
        <w:t xml:space="preserve"> Betrag lohnsteuer- und sozialversicherungspflichtig</w:t>
      </w:r>
      <w:r w:rsidR="0001085B">
        <w:t xml:space="preserve"> (anders als bei der Umsatzsteuer, dort handelt es sich um eine Freigrenze, s.o.)</w:t>
      </w:r>
      <w:r>
        <w:t>.</w:t>
      </w:r>
      <w:r w:rsidR="000C6D76">
        <w:t xml:space="preserve"> Die Berechnung ist für jeden Arbeitnehmer separat anzustellen (z.B. bei Begleitpersonen wichtig).</w:t>
      </w:r>
      <w:r w:rsidR="002E35A2">
        <w:t xml:space="preserve"> Der steuerpflichtige Teil des Arbeitslohns anlässlich einer Betriebsveranstaltung kann vom Arbeitgeber pauschal mit 25</w:t>
      </w:r>
      <w:r w:rsidR="007E4EDC">
        <w:t xml:space="preserve"> </w:t>
      </w:r>
      <w:r w:rsidR="002E35A2">
        <w:t>% versteuert werden.</w:t>
      </w:r>
    </w:p>
    <w:p w:rsidR="00541234" w:rsidRDefault="00541234" w:rsidP="00AC6080">
      <w:pPr>
        <w:pStyle w:val="berschrift2"/>
        <w:jc w:val="both"/>
      </w:pPr>
      <w:r>
        <w:t>Ermittlung der Kosten je Teilnehmer</w:t>
      </w:r>
    </w:p>
    <w:p w:rsidR="00BC01AF" w:rsidRDefault="00F72E3A" w:rsidP="00AC6080">
      <w:pPr>
        <w:jc w:val="both"/>
      </w:pPr>
      <w:r>
        <w:t xml:space="preserve">Die genaue Ermittlung der Kosten je Teilnehmer ist eine Herausforderung, da viele Detailfragen noch nicht höchstrichterlich geklärt sind. Dies betrifft </w:t>
      </w:r>
      <w:r>
        <w:lastRenderedPageBreak/>
        <w:t>sowohl den Umfang der einzubeziehenden Kosten als auch die Zählweise der Teilnehmer. Nichtsdest</w:t>
      </w:r>
      <w:r w:rsidR="00197301">
        <w:t xml:space="preserve">otrotz </w:t>
      </w:r>
      <w:r w:rsidR="0001085B">
        <w:t>dient</w:t>
      </w:r>
      <w:r w:rsidR="00197301">
        <w:t xml:space="preserve"> folgende Auflistung</w:t>
      </w:r>
      <w:r w:rsidR="0001085B">
        <w:t xml:space="preserve"> als Orientierungshilfe (sie entspricht </w:t>
      </w:r>
      <w:r w:rsidR="00197301">
        <w:t>der Auffassung der Finanzverwaltung</w:t>
      </w:r>
      <w:r w:rsidR="0001085B">
        <w:t>)</w:t>
      </w:r>
      <w:r>
        <w:t>:</w:t>
      </w:r>
    </w:p>
    <w:p w:rsidR="004B4D26" w:rsidRDefault="004B4D26" w:rsidP="00AC6080">
      <w:pPr>
        <w:jc w:val="both"/>
      </w:pPr>
    </w:p>
    <w:p w:rsidR="00F72E3A" w:rsidRDefault="00F72E3A" w:rsidP="00AC6080">
      <w:pPr>
        <w:jc w:val="both"/>
      </w:pPr>
      <w:r>
        <w:t>Einzubeziehende Kosten</w:t>
      </w:r>
      <w:r w:rsidR="004B4D26">
        <w:t>:</w:t>
      </w:r>
    </w:p>
    <w:p w:rsidR="00197301" w:rsidRDefault="00197301" w:rsidP="00AC6080">
      <w:pPr>
        <w:pStyle w:val="Listenabsatz"/>
        <w:numPr>
          <w:ilvl w:val="0"/>
          <w:numId w:val="12"/>
        </w:numPr>
      </w:pPr>
      <w:r>
        <w:t>Speisen, Getränke, Tabakwaren, Süßigkeiten</w:t>
      </w:r>
    </w:p>
    <w:p w:rsidR="00197301" w:rsidRDefault="00197301" w:rsidP="00AC6080">
      <w:pPr>
        <w:pStyle w:val="Listenabsatz"/>
        <w:numPr>
          <w:ilvl w:val="0"/>
          <w:numId w:val="12"/>
        </w:numPr>
      </w:pPr>
      <w:r>
        <w:t>Etwaige Übernachtungs- und Fahrtkosten</w:t>
      </w:r>
      <w:r w:rsidR="004B4D26">
        <w:t xml:space="preserve"> (Hotelkosten, Busfahrten,…)</w:t>
      </w:r>
    </w:p>
    <w:p w:rsidR="00197301" w:rsidRDefault="00197301" w:rsidP="00AC6080">
      <w:pPr>
        <w:pStyle w:val="Listenabsatz"/>
        <w:numPr>
          <w:ilvl w:val="0"/>
          <w:numId w:val="12"/>
        </w:numPr>
      </w:pPr>
      <w:r>
        <w:t>Musik, künstlerische Darbietungen</w:t>
      </w:r>
    </w:p>
    <w:p w:rsidR="00197301" w:rsidRDefault="00197301" w:rsidP="00AC6080">
      <w:pPr>
        <w:pStyle w:val="Listenabsatz"/>
        <w:numPr>
          <w:ilvl w:val="0"/>
          <w:numId w:val="12"/>
        </w:numPr>
      </w:pPr>
      <w:r>
        <w:t>Geschenke</w:t>
      </w:r>
    </w:p>
    <w:p w:rsidR="00197301" w:rsidRDefault="00197301" w:rsidP="00AC6080">
      <w:pPr>
        <w:pStyle w:val="Listenabsatz"/>
        <w:numPr>
          <w:ilvl w:val="0"/>
          <w:numId w:val="12"/>
        </w:numPr>
      </w:pPr>
      <w:r>
        <w:t>Aufwendungen für den äußeren Rahmen (Räume, Beleuchtung, Dekoration, Eventmanager…)</w:t>
      </w:r>
    </w:p>
    <w:p w:rsidR="00197301" w:rsidRDefault="00197301" w:rsidP="00AC6080">
      <w:pPr>
        <w:pStyle w:val="Listenabsatz"/>
        <w:numPr>
          <w:ilvl w:val="0"/>
          <w:numId w:val="12"/>
        </w:numPr>
      </w:pPr>
      <w:r>
        <w:t>Kosten für äußeren Rahmen, die zu einer abstrakten Bereicherung der Arbeitnehmer führen (Sanitäter, Erfüllung behördlicher Aufgaben, Stornokosten, Trinkgelder)</w:t>
      </w:r>
    </w:p>
    <w:p w:rsidR="00197301" w:rsidRDefault="00197301" w:rsidP="00AC6080">
      <w:pPr>
        <w:jc w:val="both"/>
      </w:pPr>
    </w:p>
    <w:p w:rsidR="00197301" w:rsidRDefault="00197301" w:rsidP="00AC6080">
      <w:pPr>
        <w:jc w:val="both"/>
      </w:pPr>
      <w:r>
        <w:t>Nicht einzubeziehen</w:t>
      </w:r>
      <w:r w:rsidR="004B4D26">
        <w:t>de Kosten</w:t>
      </w:r>
      <w:r>
        <w:t>:</w:t>
      </w:r>
    </w:p>
    <w:p w:rsidR="00197301" w:rsidRDefault="00197301" w:rsidP="00AC6080">
      <w:pPr>
        <w:pStyle w:val="Listenabsatz"/>
        <w:numPr>
          <w:ilvl w:val="0"/>
          <w:numId w:val="13"/>
        </w:numPr>
      </w:pPr>
      <w:r>
        <w:t>Selbstkosten des Arbeitgebers (z.B. anteilige Personalkosten, Raumk</w:t>
      </w:r>
      <w:r w:rsidR="007E4EDC">
        <w:t xml:space="preserve">osten, </w:t>
      </w:r>
      <w:r w:rsidR="006012D8">
        <w:br/>
      </w:r>
      <w:r w:rsidR="007E4EDC">
        <w:t>Energie-/Wasserverbrauch</w:t>
      </w:r>
      <w:r>
        <w:t>)</w:t>
      </w:r>
    </w:p>
    <w:p w:rsidR="004B4D26" w:rsidRDefault="004B4D26" w:rsidP="00AC6080">
      <w:pPr>
        <w:pStyle w:val="Listenabsatz"/>
        <w:numPr>
          <w:ilvl w:val="0"/>
          <w:numId w:val="13"/>
        </w:numPr>
      </w:pPr>
      <w:r>
        <w:t>Reisekosten von Mitarbeitern aus anderen Standorten zum Hauptsitz, wo die Weihnachtsfeier stattfindet</w:t>
      </w:r>
    </w:p>
    <w:p w:rsidR="00197301" w:rsidRDefault="00197301" w:rsidP="00AC6080">
      <w:pPr>
        <w:jc w:val="both"/>
      </w:pPr>
    </w:p>
    <w:p w:rsidR="00F72E3A" w:rsidRDefault="00F72E3A" w:rsidP="00AC6080">
      <w:pPr>
        <w:jc w:val="both"/>
      </w:pPr>
      <w:r>
        <w:t>Zählweise der Teilnehmer</w:t>
      </w:r>
    </w:p>
    <w:p w:rsidR="00F72E3A" w:rsidRDefault="000C6D76" w:rsidP="00AC6080">
      <w:pPr>
        <w:pStyle w:val="Listenabsatz"/>
        <w:numPr>
          <w:ilvl w:val="0"/>
          <w:numId w:val="14"/>
        </w:numPr>
      </w:pPr>
      <w:r>
        <w:t>Begleitpersonen</w:t>
      </w:r>
      <w:r w:rsidR="007A51E8">
        <w:t xml:space="preserve">: </w:t>
      </w:r>
      <w:r>
        <w:sym w:font="Wingdings" w:char="F0E0"/>
      </w:r>
      <w:r>
        <w:t xml:space="preserve"> Zählen </w:t>
      </w:r>
      <w:r w:rsidR="0001085B">
        <w:t>zwar bei der Ermittlung der Kosten je Person als eigene Person</w:t>
      </w:r>
      <w:r>
        <w:t xml:space="preserve"> </w:t>
      </w:r>
      <w:r w:rsidR="0001085B">
        <w:t>–</w:t>
      </w:r>
      <w:r>
        <w:t xml:space="preserve"> </w:t>
      </w:r>
      <w:r w:rsidR="0001085B">
        <w:t xml:space="preserve">die auf </w:t>
      </w:r>
      <w:r w:rsidR="007E4EDC">
        <w:t>diese</w:t>
      </w:r>
      <w:r w:rsidR="0001085B">
        <w:t xml:space="preserve"> entfallenden </w:t>
      </w:r>
      <w:r w:rsidR="007A51E8">
        <w:t xml:space="preserve">Aufwendungen </w:t>
      </w:r>
      <w:r>
        <w:t xml:space="preserve">werden </w:t>
      </w:r>
      <w:r w:rsidR="0001085B">
        <w:t xml:space="preserve">aber </w:t>
      </w:r>
      <w:r>
        <w:t>beim jeweiligen (begleiteten) Arbeitnehmer</w:t>
      </w:r>
      <w:r w:rsidR="0001085B">
        <w:t xml:space="preserve"> dessen Arbeitslohn</w:t>
      </w:r>
      <w:r>
        <w:t xml:space="preserve"> hinzugerechnet</w:t>
      </w:r>
    </w:p>
    <w:p w:rsidR="00F72E3A" w:rsidRDefault="00F72E3A" w:rsidP="00AC6080">
      <w:pPr>
        <w:pStyle w:val="Listenabsatz"/>
        <w:numPr>
          <w:ilvl w:val="0"/>
          <w:numId w:val="14"/>
        </w:numPr>
      </w:pPr>
      <w:r>
        <w:t>Geplante vs. tatsächliche Teilnehmer</w:t>
      </w:r>
      <w:r w:rsidR="000C6D76">
        <w:t xml:space="preserve">zahl: </w:t>
      </w:r>
      <w:r w:rsidR="000C6D76">
        <w:sym w:font="Wingdings" w:char="F0E0"/>
      </w:r>
      <w:r w:rsidR="000C6D76">
        <w:t xml:space="preserve"> es ist die Anzahl der tatsächlichen Teilnehmer anzusetzen</w:t>
      </w:r>
    </w:p>
    <w:p w:rsidR="008D23A2" w:rsidRDefault="00BC01AF" w:rsidP="00AC6080">
      <w:pPr>
        <w:pStyle w:val="berschrift2"/>
        <w:jc w:val="both"/>
      </w:pPr>
      <w:r>
        <w:t>Betriebsexterne Teilnehmer</w:t>
      </w:r>
    </w:p>
    <w:p w:rsidR="008D23A2" w:rsidRDefault="004B4D26" w:rsidP="00AC6080">
      <w:pPr>
        <w:jc w:val="both"/>
      </w:pPr>
      <w:r>
        <w:t xml:space="preserve">Es ist nicht unüblich, dass an der betrieblichen Weihnachtsfeier </w:t>
      </w:r>
      <w:r w:rsidR="00883C61">
        <w:t xml:space="preserve">auch </w:t>
      </w:r>
      <w:r w:rsidR="00883C61">
        <w:lastRenderedPageBreak/>
        <w:t>betriebsfremde Personen teilnehmen. Hierzu gehören zum einen Begleitpersonen der Arbeitnehmer (dazu s.o.) zum anderen aber auch Geschäftspartner sowie Verwandte und Freunde des Unternehmers.</w:t>
      </w:r>
    </w:p>
    <w:p w:rsidR="00883C61" w:rsidRDefault="00883C61" w:rsidP="00AC6080">
      <w:pPr>
        <w:jc w:val="both"/>
      </w:pPr>
      <w:r>
        <w:t>Die Aufwendungen der Betriebsveranstaltung, die auf die teilnehmenden Geschäftspartner entfallen</w:t>
      </w:r>
      <w:r w:rsidR="0001085B">
        <w:t>,</w:t>
      </w:r>
      <w:r>
        <w:t xml:space="preserve"> unterliegen (wie alle Bewirtungskosten ggü. Geschäftspartnern) dem teilweisen ertragsteuerlichen Abzugsverbot i.H.v. 30</w:t>
      </w:r>
      <w:r w:rsidR="007E4EDC">
        <w:t xml:space="preserve"> </w:t>
      </w:r>
      <w:r>
        <w:t>%.</w:t>
      </w:r>
      <w:r w:rsidR="002E35A2">
        <w:t xml:space="preserve"> Umsatzsteuerlich wird der Vorsteuerabzug nicht beeinträchtigt.</w:t>
      </w:r>
    </w:p>
    <w:p w:rsidR="002E35A2" w:rsidRDefault="002E35A2" w:rsidP="00AC6080">
      <w:pPr>
        <w:jc w:val="both"/>
      </w:pPr>
      <w:r>
        <w:t>Die Aufwendungen, die auf die privaten Gäste des Unternehmers entfallen, stellen Privatentnahmen dar. Sie sind ertragsteuerlich nicht absetzbar und lösen Umsatzsteuer aus.</w:t>
      </w:r>
    </w:p>
    <w:p w:rsidR="00F72E3A" w:rsidRDefault="00F72E3A" w:rsidP="00AC6080">
      <w:pPr>
        <w:pStyle w:val="berschrift2"/>
        <w:jc w:val="both"/>
      </w:pPr>
      <w:r>
        <w:t>Dokumentation</w:t>
      </w:r>
    </w:p>
    <w:p w:rsidR="008D23A2" w:rsidRDefault="002E35A2" w:rsidP="00AC6080">
      <w:pPr>
        <w:jc w:val="both"/>
      </w:pPr>
      <w:r>
        <w:t xml:space="preserve">Die korrekte steuerliche Handhabung von Betriebsveranstaltungen erfordert (wie dargestellt) eine differenzierte Beurteilung und einige </w:t>
      </w:r>
      <w:r w:rsidR="0001085B">
        <w:t>Rechenschritte</w:t>
      </w:r>
      <w:r>
        <w:t>. Es ist daher auf die genaue Dokumentation des Sachverhalts zu achten (z.B. Teilnehmerliste, Zuordnung Begleitpersonen, Zusammenstellung der einzelnen Kosten, usw.)</w:t>
      </w:r>
    </w:p>
    <w:p w:rsidR="00004186" w:rsidRDefault="009D1590" w:rsidP="00AC6080">
      <w:pPr>
        <w:pStyle w:val="berschrift1"/>
        <w:ind w:left="431" w:hanging="431"/>
        <w:jc w:val="both"/>
      </w:pPr>
      <w:bookmarkStart w:id="7" w:name="_Toc465681741"/>
      <w:r>
        <w:t xml:space="preserve">E-Bike </w:t>
      </w:r>
      <w:r w:rsidR="00004186">
        <w:t>über den Arbeitgeber</w:t>
      </w:r>
      <w:r>
        <w:t xml:space="preserve"> leasen</w:t>
      </w:r>
      <w:bookmarkEnd w:id="7"/>
    </w:p>
    <w:p w:rsidR="00004186" w:rsidRDefault="00004186" w:rsidP="00004186">
      <w:r>
        <w:t xml:space="preserve">Derzeit wird das </w:t>
      </w:r>
      <w:r w:rsidR="009D1590">
        <w:t>(Elektro-)</w:t>
      </w:r>
      <w:r>
        <w:t>Fahrradleasing über den Arbeitgeber</w:t>
      </w:r>
      <w:r w:rsidR="009D1590">
        <w:t xml:space="preserve"> bei gleichzeitiger </w:t>
      </w:r>
      <w:r>
        <w:t>Überlassung an den Arbeitnehmer als „Dienstfahrrad“ stark beworben. Dieses Leasingmodell soll beim Arbeitnehmer zu einer steuerlichen Nettolohn-Optimierung f</w:t>
      </w:r>
      <w:r w:rsidR="00EA0E57">
        <w:t xml:space="preserve">ühren, da dieser die (oft gegenüber dem Einzelkauf günstigeren) Leasingraten durch eine Gehaltsumwandlung aus „unversteuertem“ Einkommen trägt </w:t>
      </w:r>
      <w:r>
        <w:t>und der Arbeitgeber gleichzeitig Sozialabgaben spar</w:t>
      </w:r>
      <w:r w:rsidR="00EA0E57">
        <w:t>t</w:t>
      </w:r>
      <w:r>
        <w:t>. Wir zeigen Ihnen auf, welches steuerliche Konzept hinter diesen Aussagen steht.</w:t>
      </w:r>
    </w:p>
    <w:p w:rsidR="00004186" w:rsidRPr="00004186" w:rsidRDefault="00004186" w:rsidP="00004186">
      <w:pPr>
        <w:pStyle w:val="berschrift2"/>
      </w:pPr>
      <w:r>
        <w:t>Das Leasingmodell</w:t>
      </w:r>
    </w:p>
    <w:p w:rsidR="00167EFE" w:rsidRDefault="00004186" w:rsidP="00004186">
      <w:r>
        <w:t>Das Leasingmodell wird so gestaltet, dass der Arbeitgeber mit</w:t>
      </w:r>
      <w:r w:rsidR="00A03F36">
        <w:t xml:space="preserve"> einer</w:t>
      </w:r>
      <w:r>
        <w:t xml:space="preserve"> Leasing</w:t>
      </w:r>
      <w:r w:rsidR="00A03F36">
        <w:t>firma einen</w:t>
      </w:r>
      <w:r>
        <w:t xml:space="preserve"> Leasingvertr</w:t>
      </w:r>
      <w:r w:rsidR="00A03F36">
        <w:t>a</w:t>
      </w:r>
      <w:r>
        <w:t xml:space="preserve">g über </w:t>
      </w:r>
      <w:r w:rsidR="00A03F36">
        <w:t>das (Elektro-)</w:t>
      </w:r>
      <w:r>
        <w:t>Fahrr</w:t>
      </w:r>
      <w:r w:rsidR="00A03F36">
        <w:t>a</w:t>
      </w:r>
      <w:r>
        <w:t xml:space="preserve">d mit einer festen Laufzeit von </w:t>
      </w:r>
      <w:r w:rsidR="007924D0">
        <w:t>i.d.R.</w:t>
      </w:r>
      <w:r>
        <w:t xml:space="preserve"> 36 Monaten </w:t>
      </w:r>
      <w:r w:rsidR="007924D0">
        <w:t>abschließt</w:t>
      </w:r>
      <w:r>
        <w:t xml:space="preserve">. Zeitgleich schließt der Arbeitgeber mit dem Arbeitnehmer für ebendiese Dauer einen Überlassungsvertrag </w:t>
      </w:r>
      <w:r>
        <w:lastRenderedPageBreak/>
        <w:t xml:space="preserve">hinsichtlich des Fahrrads ab, welcher auch eine private Nutzung zulässt. </w:t>
      </w:r>
      <w:r w:rsidR="007924D0">
        <w:t>D</w:t>
      </w:r>
      <w:r>
        <w:t xml:space="preserve">er Arbeitnehmer verpflichtet sich zugleich dazu, das Fahrrad auf eigene Kosten zu warten und zu pflegen. Auch das Haftungsrisiko für Beschädigungen und Verlust wird auf den Arbeitnehmer abgewälzt; umgekehrt erhält der Arbeitnehmer dafür sämtliche Gewährleistungsansprüche des Arbeitgebers gegenüber dem Leasinggeber. </w:t>
      </w:r>
      <w:r w:rsidR="00167EFE">
        <w:t>Danach wird das Gehalt für die Dauer der Nutzungsüberlassung um einen festgelegten Betrag (volle oder teilweise Leasingrate) heruntergesetzt bzw. umgewandelt.</w:t>
      </w:r>
    </w:p>
    <w:p w:rsidR="00004186" w:rsidRDefault="00167EFE" w:rsidP="00004186">
      <w:r>
        <w:t>Zudem ist häufig vorgesehen, dass der Arbeitnehmer das von ihm genutzte Leasingfahrrad bei Beendigung der Überlassung – ohne dass er darauf einen vertraglichen Anspruch hat – käuflich erwerben kann.</w:t>
      </w:r>
    </w:p>
    <w:p w:rsidR="00004186" w:rsidRDefault="0001224D" w:rsidP="00004186">
      <w:pPr>
        <w:pStyle w:val="berschrift2"/>
      </w:pPr>
      <w:r>
        <w:t>Wem ist das Fahrrad wirtschaftlich zuzurechnen?</w:t>
      </w:r>
    </w:p>
    <w:p w:rsidR="007924D0" w:rsidRDefault="007924D0" w:rsidP="00B11A7D">
      <w:r w:rsidRPr="007924D0">
        <w:t>Für die lohnsteuerliche Behandlung kommt es in erster Linie darauf an, wem das Fahrrad wirtschaftlich zuzurechnen ist.</w:t>
      </w:r>
      <w:r>
        <w:t xml:space="preserve"> Dies wird im </w:t>
      </w:r>
      <w:r w:rsidRPr="00B11A7D">
        <w:rPr>
          <w:b/>
        </w:rPr>
        <w:t>Normalfall der Arbeitgeber</w:t>
      </w:r>
      <w:r>
        <w:t xml:space="preserve"> sein</w:t>
      </w:r>
      <w:r w:rsidR="00167EFE">
        <w:t>. E</w:t>
      </w:r>
      <w:r w:rsidR="00B11A7D">
        <w:t xml:space="preserve">s sei denn, </w:t>
      </w:r>
      <w:r w:rsidR="00167EFE">
        <w:t>er</w:t>
      </w:r>
      <w:r w:rsidR="00B11A7D">
        <w:t xml:space="preserve"> muss dem Arbeitnehmer das Fahrrad aufgrund einer gesonderten Rechtsbeziehung überlassen, die vom Arbeitsvertrag unabhängig ist und der Arbeitnehmer hat zudem gegenüber seinem Arbeitgeber die wesentlichen Rechte und Pflichten eines Leasingnehmers inne. In der Praxis dürften diese Fälle nur äußerst selten vorkommen.</w:t>
      </w:r>
    </w:p>
    <w:p w:rsidR="00E107B4" w:rsidRDefault="00E107B4" w:rsidP="00004186"/>
    <w:p w:rsidR="00E107B4" w:rsidRDefault="00B11A7D" w:rsidP="00E107B4">
      <w:r>
        <w:t xml:space="preserve">Die Überlassungsverträge zwischen Arbeitgeber und Arbeitnehmer enthalten </w:t>
      </w:r>
      <w:r w:rsidR="00167EFE">
        <w:t>außerdem</w:t>
      </w:r>
      <w:r>
        <w:t xml:space="preserve"> häufig Klauseln, wonach das Nutzungsverhältnis vorzeitig beendet wird, wenn das Beschäftigungsverhältnis endet oder ruht. Eine solche Klausel spricht für die wirtschaftliche Zurechnung des Fahrrads zum Arbeitgeber. Es sollte jedoch weiterhin darauf geachtet werden, dass der Arbeitgeber nicht alle auf diesen aus dem Leasingvertrag entfallenden Rechte und Pflichten im identischen Umfang an den Arbeitnehmer weiterreicht. Denn behält sich der Arbeitgeber einzelne dieser Rechte oder Pflichten vor, ohne sie an den Arbeitnehmer weiterzugeben, spricht dies </w:t>
      </w:r>
      <w:r>
        <w:lastRenderedPageBreak/>
        <w:t xml:space="preserve">ebenfalls gegen eine wirtschaftliche Zurechnung des Fahrrads beim Arbeitnehmer. Ist der Arbeitgeber etwa durch den Leasingvertrag verpflichtet, für das Fahrrad eine </w:t>
      </w:r>
      <w:r w:rsidRPr="0001224D">
        <w:rPr>
          <w:b/>
        </w:rPr>
        <w:t>Versicherung</w:t>
      </w:r>
      <w:r>
        <w:t xml:space="preserve"> abzuschließen, gibt er diese Pflicht aber nicht an den Arbeitnehmer weiter bzw. übernimmt er die Kosten hierfür, ist der Arbeitnehmer nicht wirtschaftlicher Leasingnehmer.</w:t>
      </w:r>
    </w:p>
    <w:p w:rsidR="0001224D" w:rsidRPr="0001224D" w:rsidRDefault="0001224D" w:rsidP="00E107B4">
      <w:pPr>
        <w:pStyle w:val="berschrift2"/>
      </w:pPr>
      <w:r>
        <w:t xml:space="preserve">Steuerliche </w:t>
      </w:r>
      <w:r w:rsidRPr="0001224D">
        <w:t>Folgen bei Zurechnung zum Arbeitgeber</w:t>
      </w:r>
    </w:p>
    <w:p w:rsidR="0001224D" w:rsidRDefault="00004186" w:rsidP="00004186">
      <w:r>
        <w:t xml:space="preserve">Ist </w:t>
      </w:r>
      <w:r w:rsidR="00B11A7D">
        <w:t xml:space="preserve">nach diesen Grundsätzen </w:t>
      </w:r>
      <w:r>
        <w:t>das Fahrrad wirtschaftlich</w:t>
      </w:r>
      <w:r w:rsidR="00B11A7D">
        <w:t xml:space="preserve"> dem Arbeitgeber</w:t>
      </w:r>
      <w:r>
        <w:t xml:space="preserve"> zuzurechnen ist von einer </w:t>
      </w:r>
      <w:r w:rsidRPr="0001224D">
        <w:rPr>
          <w:b/>
        </w:rPr>
        <w:t>Gehaltsumwandlung</w:t>
      </w:r>
      <w:r>
        <w:t xml:space="preserve"> dergestalt auszugehen, dass der Barlohn des Arbeitnehmers um den Betrag der Leasingrate herabgesetzt wird. Für die Überlassung des Fahrrades zur privaten Nutzung wird der sich aus der Nutzungsüberlassung ergebende Sachlohn mit monatlich 1 % der auf 100 </w:t>
      </w:r>
      <w:r w:rsidR="006012D8">
        <w:t>EUR</w:t>
      </w:r>
      <w:r>
        <w:t xml:space="preserve"> abgerundeten unverbindlichen Preisempfehlung des Herstellers, Importeurs oder Großhändlers (brutto) </w:t>
      </w:r>
      <w:r w:rsidR="0001224D">
        <w:t xml:space="preserve">für das Fahrrad ermittelt. </w:t>
      </w:r>
    </w:p>
    <w:p w:rsidR="0001224D" w:rsidRDefault="0001224D" w:rsidP="00004186"/>
    <w:p w:rsidR="0001224D" w:rsidRDefault="0001224D" w:rsidP="00004186">
      <w:r w:rsidRPr="0001224D">
        <w:t xml:space="preserve">Bei einem </w:t>
      </w:r>
      <w:r>
        <w:t>E-Bike</w:t>
      </w:r>
      <w:r w:rsidRPr="0001224D">
        <w:t xml:space="preserve"> im Wert von </w:t>
      </w:r>
      <w:r>
        <w:t>3</w:t>
      </w:r>
      <w:r w:rsidRPr="0001224D">
        <w:t xml:space="preserve">.000 </w:t>
      </w:r>
      <w:r w:rsidR="006012D8">
        <w:t>EUR</w:t>
      </w:r>
      <w:r w:rsidRPr="0001224D">
        <w:t xml:space="preserve"> inklusive Mehrwertsteuer </w:t>
      </w:r>
      <w:r>
        <w:t>hat der Arbeitnehmer</w:t>
      </w:r>
      <w:r w:rsidRPr="0001224D">
        <w:t xml:space="preserve"> somit monatlich </w:t>
      </w:r>
      <w:r>
        <w:t>3</w:t>
      </w:r>
      <w:r w:rsidRPr="0001224D">
        <w:t xml:space="preserve">0 </w:t>
      </w:r>
      <w:r w:rsidR="006012D8">
        <w:t>EUR</w:t>
      </w:r>
      <w:r w:rsidRPr="0001224D">
        <w:t xml:space="preserve"> als geldwerter Vorteil zu versteuern.</w:t>
      </w:r>
      <w:r>
        <w:t xml:space="preserve"> Trägt dieser dann im Gegenzug über eine Gehaltsumwandlung die monatlichen Leasingkosten von z.B. 70 </w:t>
      </w:r>
      <w:r w:rsidR="006012D8">
        <w:t>EUR</w:t>
      </w:r>
      <w:r>
        <w:t xml:space="preserve"> reduziert sich der </w:t>
      </w:r>
      <w:r w:rsidRPr="0001224D">
        <w:t>steuer- und sozialabgabenpflichtige Arbeitslohn</w:t>
      </w:r>
      <w:r>
        <w:t xml:space="preserve"> des Arbeitnehmers insgesamt um 40 </w:t>
      </w:r>
      <w:r w:rsidR="006012D8">
        <w:t>EUR</w:t>
      </w:r>
      <w:r w:rsidR="00EA0E57">
        <w:t xml:space="preserve">. </w:t>
      </w:r>
    </w:p>
    <w:p w:rsidR="00004186" w:rsidRDefault="00EA0E57" w:rsidP="00EA0E57">
      <w:pPr>
        <w:pStyle w:val="berschrift2"/>
      </w:pPr>
      <w:r>
        <w:t>Vorsicht bei Zurechnung zum Arbeitnehmer!</w:t>
      </w:r>
    </w:p>
    <w:p w:rsidR="00004186" w:rsidRDefault="00004186" w:rsidP="00004186">
      <w:r>
        <w:t xml:space="preserve">Ist der Arbeitnehmer indes wirtschaftlicher Leasingnehmer, liegt keine mit einem monatlichen Durchschnittswert zu bewertende Gestellung eines </w:t>
      </w:r>
      <w:r w:rsidR="00EA0E57">
        <w:t>(</w:t>
      </w:r>
      <w:r>
        <w:t>E</w:t>
      </w:r>
      <w:r w:rsidR="009F262D">
        <w:t>lektro</w:t>
      </w:r>
      <w:r w:rsidR="00EA0E57">
        <w:t>-</w:t>
      </w:r>
      <w:r>
        <w:t xml:space="preserve">)Fahrrads durch den Arbeitgeber vor. Ein geldwerter Vorteil in Gestalt einer verbilligten Leasingrate stellt Arbeitslohn dar, der regelmäßig nach § 8 Abs. 2 Satz 1 EStG zu bewerten ist. Der Preisunterschied zwischen den für Privatpersonen üblichen und den tatsächlich vom Arbeitnehmer zu </w:t>
      </w:r>
      <w:r>
        <w:lastRenderedPageBreak/>
        <w:t>zahlenden Leasinggebühren ist dabei maßgeblich.</w:t>
      </w:r>
    </w:p>
    <w:p w:rsidR="00EA0E57" w:rsidRDefault="00EA0E57" w:rsidP="00EA0E57">
      <w:pPr>
        <w:pStyle w:val="berschrift2"/>
      </w:pPr>
      <w:r>
        <w:t>Erwerb nach Ablauf Leasingzeitraums</w:t>
      </w:r>
    </w:p>
    <w:p w:rsidR="00004186" w:rsidRDefault="00004186" w:rsidP="00004186">
      <w:r>
        <w:t xml:space="preserve">Erwirbt der Arbeitnehmer bei Beendigung der Überlassung das von ihm genutzte Leasingfahrrad zu einem geringeren Preis als </w:t>
      </w:r>
      <w:r w:rsidR="00E107B4">
        <w:t>dem dann geltenden Marktpreis</w:t>
      </w:r>
      <w:r>
        <w:t xml:space="preserve">, ist der Differenzbetrag Arbeitslohn von dritter Seite (unabhängig </w:t>
      </w:r>
      <w:r w:rsidR="00E107B4">
        <w:t>davon, wem des Fahrrad wirtschaftlich zuzurechnen ist</w:t>
      </w:r>
      <w:r>
        <w:t>). Ein (eventueller) Preisvorteil steht im Zusammenhang mit dem Dienstverhältnis. Durch die Leasingvereinbarungen hat der Arbeitgeber an seiner Verschaffung aktiv mitgewirkt, auch wenn der Arbeitnehmer keinen vertraglichen Anspruch auf den Fahrraderwerb und einen Preisvorteil hat.</w:t>
      </w:r>
    </w:p>
    <w:p w:rsidR="00E107B4" w:rsidRDefault="00E107B4" w:rsidP="00E107B4">
      <w:pPr>
        <w:pStyle w:val="berschrift2"/>
      </w:pPr>
      <w:r>
        <w:t>Fazit</w:t>
      </w:r>
    </w:p>
    <w:p w:rsidR="00E107B4" w:rsidRPr="00004186" w:rsidRDefault="00E107B4" w:rsidP="00004186">
      <w:r>
        <w:t>Das Fahrradleasing kann durchaus für Arbeitnehmer und Arbeitgeber eine vorteilhafte Gestaltung darstellen – vorausgesetzt</w:t>
      </w:r>
      <w:r w:rsidR="009F262D">
        <w:t>,</w:t>
      </w:r>
      <w:r>
        <w:t xml:space="preserve"> die wirtschaftliche Zurechnung des Leasing</w:t>
      </w:r>
      <w:r w:rsidR="009F262D">
        <w:t>fahr</w:t>
      </w:r>
      <w:r>
        <w:t xml:space="preserve">rads erfolgt beim Arbeitgeber. </w:t>
      </w:r>
      <w:r w:rsidRPr="00E107B4">
        <w:t>Die</w:t>
      </w:r>
      <w:r>
        <w:t>ser sollte auch beachten, dass die</w:t>
      </w:r>
      <w:r w:rsidRPr="00E107B4">
        <w:t xml:space="preserve"> entgeltliche Überlassung des Leasingfahrrads </w:t>
      </w:r>
      <w:r>
        <w:t xml:space="preserve">im Wege der Barlohnumwandlung </w:t>
      </w:r>
      <w:r w:rsidRPr="00E107B4">
        <w:t>als Leistungsaustausch der Umsatzsteuer</w:t>
      </w:r>
      <w:r>
        <w:t xml:space="preserve"> unterliegt</w:t>
      </w:r>
      <w:r w:rsidRPr="00E107B4">
        <w:t>.</w:t>
      </w:r>
      <w:r>
        <w:t xml:space="preserve"> Arbeitnehmer sollten berücksichtigen, dass der spätere Erwerb des Rades – welcher in der Praxis oft am Ende des Leasingvertrages gewünscht ist – noch einmal zu Arbeitslohn führt, welcher voll zu versteuern ist. In den Werbebroschüren der Leasinganbieter wird dieser Aspekt des Fahrradleasings regelmäßig verschwiegen. </w:t>
      </w:r>
    </w:p>
    <w:p w:rsidR="00B66E7E" w:rsidRPr="00B66E7E" w:rsidRDefault="00B66E7E" w:rsidP="00AC6080">
      <w:pPr>
        <w:pStyle w:val="berschrift1"/>
        <w:ind w:left="431" w:hanging="431"/>
        <w:jc w:val="both"/>
      </w:pPr>
      <w:bookmarkStart w:id="8" w:name="_Toc465681742"/>
      <w:r w:rsidRPr="00B66E7E">
        <w:t>Bonus</w:t>
      </w:r>
      <w:r>
        <w:t>zahlungen</w:t>
      </w:r>
      <w:r w:rsidRPr="00B66E7E">
        <w:t xml:space="preserve"> </w:t>
      </w:r>
      <w:r>
        <w:t>für zusätzliche Gesundheitsaufwendungen</w:t>
      </w:r>
      <w:bookmarkEnd w:id="8"/>
    </w:p>
    <w:p w:rsidR="00B66E7E" w:rsidRDefault="00B66E7E" w:rsidP="00AC6080">
      <w:pPr>
        <w:jc w:val="both"/>
      </w:pPr>
      <w:r>
        <w:t>Beiträge für eine Krankenversicherung sind unbeschränkt als Sonderausgaben abziehbar, soweit diese auf die sog. Basisversorgung des Steuerpflichtigen entfallen. Der BFH hatte zu entscheiden, ob diese Sonderausgaben um Zuschüsse einer gesetzlichen Krankenversicherung</w:t>
      </w:r>
      <w:r w:rsidR="009F262D">
        <w:t xml:space="preserve">, </w:t>
      </w:r>
      <w:r w:rsidR="00766626">
        <w:t>die im Rahmen eines Bonusprogramms den Versicher</w:t>
      </w:r>
      <w:r w:rsidR="00B92764">
        <w:t>ten zurückgewährt</w:t>
      </w:r>
      <w:r w:rsidR="009F262D">
        <w:t xml:space="preserve"> werden</w:t>
      </w:r>
      <w:r w:rsidR="007E4EDC">
        <w:t>,</w:t>
      </w:r>
      <w:r w:rsidR="00B92764">
        <w:t xml:space="preserve"> zu kürzen </w:t>
      </w:r>
      <w:r w:rsidR="009F262D">
        <w:t>sind</w:t>
      </w:r>
      <w:r w:rsidR="00766626">
        <w:t>.</w:t>
      </w:r>
    </w:p>
    <w:p w:rsidR="00D73E44" w:rsidRPr="00D73E44" w:rsidRDefault="00D73E44" w:rsidP="00AC6080">
      <w:pPr>
        <w:pStyle w:val="berschrift2"/>
        <w:jc w:val="both"/>
      </w:pPr>
      <w:r w:rsidRPr="00D73E44">
        <w:lastRenderedPageBreak/>
        <w:t>Kürzung der Son</w:t>
      </w:r>
      <w:r>
        <w:t>d</w:t>
      </w:r>
      <w:r w:rsidRPr="00D73E44">
        <w:t>erausgaben?</w:t>
      </w:r>
    </w:p>
    <w:p w:rsidR="00B66E7E" w:rsidRDefault="00B66E7E" w:rsidP="00AC6080">
      <w:pPr>
        <w:jc w:val="both"/>
      </w:pPr>
      <w:r>
        <w:t>Der Kläger war bei der BKK krankenversichert. Die BKK bot ein Bonusmodell an, wenn der Versicherte bestimmte kostenfreie Vorsorge</w:t>
      </w:r>
      <w:r w:rsidR="007E4EDC">
        <w:t>untersuchungen durchführen ließ.</w:t>
      </w:r>
      <w:r>
        <w:t xml:space="preserve"> Der Versicherte erhielt dann einen Zuschuss von 150 </w:t>
      </w:r>
      <w:r w:rsidR="006012D8">
        <w:t>EUR</w:t>
      </w:r>
      <w:r>
        <w:t xml:space="preserve"> für zusätzliche kostenpflichtige Gesundheitsmaßnahmen wie z. B. Brillen, Massagen etc., die er selbst zahlen musste. Der Kläger erhielt im Streitjahr einen solchen Zuschuss, den die BKK als Beitragsrückerstattung auswies. Das Finanzamt kürzte den Abzug der Krankenversicherungsbeiträge als Sonderausgaben um </w:t>
      </w:r>
      <w:r w:rsidR="00B92764">
        <w:t>diese Bonuszahlung</w:t>
      </w:r>
      <w:r>
        <w:t>.</w:t>
      </w:r>
    </w:p>
    <w:p w:rsidR="00D73E44" w:rsidRDefault="00D73E44" w:rsidP="00AC6080">
      <w:pPr>
        <w:pStyle w:val="berschrift2"/>
        <w:jc w:val="both"/>
      </w:pPr>
      <w:r>
        <w:t>Zuschuss für zusätzliche Gesundheitsmaßnahmen</w:t>
      </w:r>
    </w:p>
    <w:p w:rsidR="00766626" w:rsidRDefault="00766626" w:rsidP="007E4EDC">
      <w:pPr>
        <w:jc w:val="both"/>
      </w:pPr>
      <w:r>
        <w:t>Zu Unrecht wie der BFH entschied!</w:t>
      </w:r>
      <w:r w:rsidR="007E4EDC">
        <w:t xml:space="preserve"> </w:t>
      </w:r>
      <w:r w:rsidR="00B66E7E">
        <w:t>Der Sonderausgabenabzug setzt Aufwendungen und damit eine wirtschaftliche Belastung voraus, so dass Erstattungen abgezogen werden. Dies gilt aber nur dann, wenn die Aufwendungen erstattet werden.</w:t>
      </w:r>
    </w:p>
    <w:p w:rsidR="007E4EDC" w:rsidRDefault="007E4EDC" w:rsidP="007E4EDC">
      <w:pPr>
        <w:jc w:val="both"/>
      </w:pPr>
    </w:p>
    <w:p w:rsidR="00B66E7E" w:rsidRDefault="00B66E7E" w:rsidP="007E4EDC">
      <w:pPr>
        <w:jc w:val="both"/>
      </w:pPr>
      <w:r>
        <w:t xml:space="preserve">Im Streitfall wurden </w:t>
      </w:r>
      <w:r w:rsidR="00766626">
        <w:t xml:space="preserve">jedoch </w:t>
      </w:r>
      <w:r>
        <w:t>nicht die Aufwendungen des Klägers für den Krankenversicherungsschutz erstattet, sondern es wurde ein Zuschuss für zusätzliche Gesundheitsmaßnahmen des Klägers geleistet, die er privat zahlen musste. Die Erstattung betraf also Aufwendungen, die über die Beiträge für den Krankenversicherungsschutz hinaus getätigt wurden.</w:t>
      </w:r>
    </w:p>
    <w:p w:rsidR="00766626" w:rsidRDefault="00766626" w:rsidP="007E4EDC">
      <w:pPr>
        <w:jc w:val="both"/>
      </w:pPr>
    </w:p>
    <w:p w:rsidR="00B66E7E" w:rsidRDefault="00B66E7E" w:rsidP="007E4EDC">
      <w:pPr>
        <w:jc w:val="both"/>
      </w:pPr>
      <w:r>
        <w:t xml:space="preserve">Der BFH widerspricht </w:t>
      </w:r>
      <w:r w:rsidR="00766626">
        <w:t xml:space="preserve">damit </w:t>
      </w:r>
      <w:r>
        <w:t xml:space="preserve">der Auffassung der Finanzverwaltung und stellt klar, dass der Zuschuss auch nicht als Einnahme versteuert werden muss. </w:t>
      </w:r>
    </w:p>
    <w:p w:rsidR="00D73E44" w:rsidRDefault="00766626" w:rsidP="00AC6080">
      <w:pPr>
        <w:pStyle w:val="berschrift2"/>
        <w:jc w:val="both"/>
      </w:pPr>
      <w:r w:rsidRPr="00766626">
        <w:t>Beachten Sie</w:t>
      </w:r>
    </w:p>
    <w:p w:rsidR="00B66E7E" w:rsidRDefault="00B66E7E" w:rsidP="00AC6080">
      <w:pPr>
        <w:jc w:val="both"/>
      </w:pPr>
      <w:r>
        <w:t>Eine Beitragsrückerstattung</w:t>
      </w:r>
      <w:r w:rsidR="00766626">
        <w:t xml:space="preserve"> für zurückliegende Versicherungszeiträume</w:t>
      </w:r>
      <w:r>
        <w:t xml:space="preserve"> ist </w:t>
      </w:r>
      <w:r w:rsidR="00B92764">
        <w:t xml:space="preserve">grundsätzlich </w:t>
      </w:r>
      <w:r>
        <w:t xml:space="preserve">von den Sonderausgaben des Jahres, in dem die Beitragsrückerstattung ausgezahlt wird, abzuziehen. </w:t>
      </w:r>
      <w:r w:rsidR="00766626">
        <w:t xml:space="preserve">Dies gilt aber nur für echte Beitragserstattungen – dass </w:t>
      </w:r>
      <w:r>
        <w:t xml:space="preserve">die BKK </w:t>
      </w:r>
      <w:r w:rsidR="00766626">
        <w:t xml:space="preserve">im Urteilsfall </w:t>
      </w:r>
      <w:r>
        <w:t xml:space="preserve">den Zuschuss als Beitragsrückerstattung </w:t>
      </w:r>
      <w:r w:rsidR="00766626">
        <w:t>bezeichnet hatte</w:t>
      </w:r>
      <w:r>
        <w:t xml:space="preserve"> </w:t>
      </w:r>
      <w:r w:rsidR="00766626">
        <w:t>war daher unschädlich</w:t>
      </w:r>
      <w:r>
        <w:t>.</w:t>
      </w:r>
    </w:p>
    <w:p w:rsidR="00B66E7E" w:rsidRDefault="00B66E7E" w:rsidP="00AC6080">
      <w:pPr>
        <w:pStyle w:val="berschrift1"/>
        <w:jc w:val="both"/>
      </w:pPr>
      <w:bookmarkStart w:id="9" w:name="_Toc465681743"/>
      <w:r>
        <w:lastRenderedPageBreak/>
        <w:t>Ortsübliche Marktmiete einer Wohnung</w:t>
      </w:r>
      <w:bookmarkEnd w:id="9"/>
    </w:p>
    <w:p w:rsidR="00766626" w:rsidRDefault="00766626" w:rsidP="00AC6080">
      <w:pPr>
        <w:jc w:val="both"/>
      </w:pPr>
      <w:r>
        <w:t xml:space="preserve">Bei Mietverträgen mit nahen Angehörigen ist zu prüfen, ob der Mietvertrag einem sog. Fremdvergleich standhält und insbesondere die vereinbarte Miete fremdüblich ist. Der Gesetzgeber fordert insoweit aber nur eine Miethöhe von mindestens 66 % der ortsüblichen Miete. Beträgt die vereinbarte Miete weniger als 66 % der ortsüblichen Miete, so ist die Vermietung in einen entgeltlichen und einen unentgeltlichen Teil aufzuteilen; </w:t>
      </w:r>
      <w:r w:rsidR="00B92764">
        <w:t>ein</w:t>
      </w:r>
      <w:r>
        <w:t xml:space="preserve"> aus der unentgeltlichen Vermietung resultierende</w:t>
      </w:r>
      <w:r w:rsidR="00B92764">
        <w:t>r</w:t>
      </w:r>
      <w:r>
        <w:t xml:space="preserve"> Verlust wird dann </w:t>
      </w:r>
      <w:r w:rsidR="00B92764">
        <w:t xml:space="preserve">steuerlich </w:t>
      </w:r>
      <w:r>
        <w:t>nicht anerkannt.</w:t>
      </w:r>
    </w:p>
    <w:p w:rsidR="00D73E44" w:rsidRDefault="00D73E44" w:rsidP="00AC6080">
      <w:pPr>
        <w:pStyle w:val="berschrift2"/>
        <w:jc w:val="both"/>
      </w:pPr>
      <w:r>
        <w:t>Welche Miete ist entscheidend?</w:t>
      </w:r>
    </w:p>
    <w:p w:rsidR="00766626" w:rsidRDefault="00766626" w:rsidP="007E4EDC">
      <w:pPr>
        <w:jc w:val="both"/>
      </w:pPr>
      <w:r>
        <w:t>Fraglich war, ob sich die vereinbarte ortsübliche Miete nun nach der ortsüblichen Warmmiete oder der ortsüblichen Kaltmiete einer vergleichbaren Wohnung richtet. Der BFH entschied: Bei der ortsüblichen Miete handelt es sich um die ortsübliche Kaltmiete zuzüglich der umlagefähigen Betriebskosten, d. h. es handelt sich um die Warmmiete!</w:t>
      </w:r>
    </w:p>
    <w:p w:rsidR="00766626" w:rsidRDefault="00766626" w:rsidP="007E4EDC">
      <w:pPr>
        <w:jc w:val="both"/>
      </w:pPr>
    </w:p>
    <w:p w:rsidR="00B66E7E" w:rsidRDefault="00766626" w:rsidP="007E4EDC">
      <w:pPr>
        <w:jc w:val="both"/>
      </w:pPr>
      <w:r>
        <w:t xml:space="preserve">Im Streitfall </w:t>
      </w:r>
      <w:r w:rsidR="00B66E7E">
        <w:t>vermietete</w:t>
      </w:r>
      <w:r>
        <w:t xml:space="preserve"> der Steuerpflichtige</w:t>
      </w:r>
      <w:r w:rsidR="00B66E7E">
        <w:t xml:space="preserve"> eine Wohnung an seine Mutter und vereinbarte eine Kaltmiete von ca. 2.900 </w:t>
      </w:r>
      <w:r w:rsidR="006012D8">
        <w:t>EUR</w:t>
      </w:r>
      <w:r w:rsidR="00B66E7E">
        <w:t xml:space="preserve"> jährlich sowie Betriebskosten von ca. 1.800 </w:t>
      </w:r>
      <w:r w:rsidR="006012D8">
        <w:t>EUR</w:t>
      </w:r>
      <w:r w:rsidR="00B66E7E">
        <w:t xml:space="preserve">. Das Finanzamt ging von einer ortsüblichen Kaltmiete von ca. 4.600 </w:t>
      </w:r>
      <w:r w:rsidR="006012D8">
        <w:t>EUR</w:t>
      </w:r>
      <w:r w:rsidR="00B66E7E">
        <w:t xml:space="preserve"> aus, so dass die vereinbarte Miete nur 63 % der ort</w:t>
      </w:r>
      <w:r>
        <w:t xml:space="preserve">süblichen Miete betrug (2.900 / </w:t>
      </w:r>
      <w:r w:rsidR="00B66E7E">
        <w:t xml:space="preserve">4.600). Es erkannte daher einen Teil des geltend gemachten Verlustes nicht an. </w:t>
      </w:r>
      <w:r>
        <w:t xml:space="preserve">Der BFH entschied, dass es sich das Finanzamt hier etwas zu einfach gemacht hat. Vielmehr müsse dieses </w:t>
      </w:r>
      <w:r w:rsidR="00B66E7E">
        <w:t xml:space="preserve">die ortsübliche Warmmiete (Kaltmiete zuzüglich der umlagefähigen Betriebskosten) ermitteln und diesem Betrag die vereinbarte Warmmiete gegenüberstellen. </w:t>
      </w:r>
      <w:r>
        <w:t>E</w:t>
      </w:r>
      <w:r w:rsidR="00B66E7E">
        <w:t xml:space="preserve">rreicht die vereinbarte Warmmiete die gesetzliche Grenze von 66 % der ortsüblichen Warmmiete, ist der Verlust steuerlich </w:t>
      </w:r>
      <w:r w:rsidR="007E4EDC">
        <w:t xml:space="preserve">voll </w:t>
      </w:r>
      <w:r w:rsidR="00B66E7E">
        <w:t>anzuerkennen.</w:t>
      </w:r>
    </w:p>
    <w:p w:rsidR="00956DAF" w:rsidRDefault="00766626" w:rsidP="00AC6080">
      <w:pPr>
        <w:pStyle w:val="berschrift2"/>
        <w:jc w:val="both"/>
      </w:pPr>
      <w:r w:rsidRPr="001C539D">
        <w:t>Beachten Sie</w:t>
      </w:r>
    </w:p>
    <w:p w:rsidR="008D23A2" w:rsidRDefault="00766626" w:rsidP="00AC6080">
      <w:pPr>
        <w:jc w:val="both"/>
      </w:pPr>
      <w:r>
        <w:t>Voraussetzung für die steuerliche Anerkennun</w:t>
      </w:r>
      <w:r w:rsidR="001C539D">
        <w:t>g</w:t>
      </w:r>
      <w:r>
        <w:t xml:space="preserve"> </w:t>
      </w:r>
      <w:r w:rsidR="001C539D">
        <w:t xml:space="preserve">eines </w:t>
      </w:r>
      <w:r>
        <w:t>Mietverhältnisses</w:t>
      </w:r>
      <w:r w:rsidR="00B66E7E">
        <w:t xml:space="preserve"> </w:t>
      </w:r>
      <w:r w:rsidR="001C539D">
        <w:t>zwischen Angehörigen ist auch dessen</w:t>
      </w:r>
      <w:r w:rsidR="00B66E7E">
        <w:t xml:space="preserve"> tatsächlich</w:t>
      </w:r>
      <w:r w:rsidR="001C539D">
        <w:t>e Durchführung. D.h. es muss eine tatsächliche Mietz</w:t>
      </w:r>
      <w:r w:rsidR="00B66E7E">
        <w:t>ahl</w:t>
      </w:r>
      <w:r w:rsidR="001C539D">
        <w:t xml:space="preserve">ung </w:t>
      </w:r>
      <w:r w:rsidR="009F262D">
        <w:t>stattfinden</w:t>
      </w:r>
      <w:r w:rsidR="001C539D">
        <w:t xml:space="preserve"> </w:t>
      </w:r>
      <w:r w:rsidR="001C539D">
        <w:lastRenderedPageBreak/>
        <w:t xml:space="preserve">und eine </w:t>
      </w:r>
      <w:r w:rsidR="00B66E7E">
        <w:t>Betriebskosten</w:t>
      </w:r>
      <w:r w:rsidR="001C539D">
        <w:t>abrechnung erfolgen.</w:t>
      </w:r>
      <w:r w:rsidR="00B66E7E">
        <w:t xml:space="preserve"> </w:t>
      </w:r>
      <w:r w:rsidR="009F262D">
        <w:t xml:space="preserve">Die </w:t>
      </w:r>
      <w:r w:rsidR="00B55ED0">
        <w:t xml:space="preserve">Mietzahlung kann auch </w:t>
      </w:r>
      <w:r w:rsidR="00B55ED0" w:rsidRPr="00B55ED0">
        <w:t xml:space="preserve">durch Verrechnung mit dem Barunterhalt der Eltern </w:t>
      </w:r>
      <w:r w:rsidR="007E4EDC">
        <w:t>geleistet werden</w:t>
      </w:r>
      <w:r w:rsidR="00B55ED0">
        <w:t>. Solche Gestaltungen hat der BFH in einer früheren Entscheidung ausdrücklich als nicht rechtsmissbräuchlich anerkannt.</w:t>
      </w:r>
    </w:p>
    <w:p w:rsidR="001000C1" w:rsidRDefault="001000C1" w:rsidP="00AC6080">
      <w:pPr>
        <w:pStyle w:val="berschrift1"/>
        <w:jc w:val="both"/>
      </w:pPr>
      <w:bookmarkStart w:id="10" w:name="_Toc465681744"/>
      <w:r>
        <w:t>Aufwendungen für Dienstjubiläum als Werbungskosten abziehbar</w:t>
      </w:r>
      <w:bookmarkEnd w:id="10"/>
    </w:p>
    <w:p w:rsidR="001000C1" w:rsidRDefault="001000C1" w:rsidP="00AC6080">
      <w:pPr>
        <w:jc w:val="both"/>
      </w:pPr>
      <w:r>
        <w:t xml:space="preserve">Ein Dienstjubiläum ist ein berufsbezogenes Ereignis und </w:t>
      </w:r>
      <w:r w:rsidR="007E4EDC">
        <w:t>daher</w:t>
      </w:r>
      <w:r>
        <w:t xml:space="preserve"> sind die damit im Zusammenhang stehenden Aufwendungen für eine betriebsinterne Feier als Werbungskosten bei den Einkünften aus nichtselbständiger Arbeit abzugsfähig - so der BFH in einem aktuellen Urteil.</w:t>
      </w:r>
    </w:p>
    <w:p w:rsidR="00956DAF" w:rsidRPr="00956DAF" w:rsidRDefault="00956DAF" w:rsidP="00AC6080">
      <w:pPr>
        <w:pStyle w:val="berschrift2"/>
        <w:jc w:val="both"/>
      </w:pPr>
      <w:r>
        <w:t>So beteiligt sich der Fiskus an ihrer Feier</w:t>
      </w:r>
    </w:p>
    <w:p w:rsidR="007E4EDC" w:rsidRDefault="001000C1" w:rsidP="00AC6080">
      <w:pPr>
        <w:jc w:val="both"/>
      </w:pPr>
      <w:r>
        <w:t>Im Urteilsfall klagte ein Beamter welcher selbst beim Finanzamt beschäftigt war. Dieser lud zu seinem 40-jähriges Dienstjubiläum für die Zeit von 11 Uhr bis 13 Uhr zu einer Feier in den Sozialraum des Finanzamts ein. Die Einladung richtete er per E-Mail an alle</w:t>
      </w:r>
      <w:r w:rsidR="007E4EDC">
        <w:t xml:space="preserve"> Amtsangehörigen des Finanzamts. </w:t>
      </w:r>
      <w:r>
        <w:t xml:space="preserve">Zur Bewirtung der Gäste bestellte er für 50 Personen Häppchen und kaufte Wein und Sekt ein. Die ihm durch die Feier entstandenen Kosten in Höhe von insgesamt 833,73 </w:t>
      </w:r>
      <w:r w:rsidR="006012D8">
        <w:t>EUR</w:t>
      </w:r>
      <w:r>
        <w:t xml:space="preserve"> machte er als Werbungskosten bei den Einkünften aus nichtselbständiger Arbeit geltend. </w:t>
      </w:r>
    </w:p>
    <w:p w:rsidR="007E4EDC" w:rsidRDefault="007E4EDC" w:rsidP="00AC6080">
      <w:pPr>
        <w:jc w:val="both"/>
      </w:pPr>
    </w:p>
    <w:p w:rsidR="001000C1" w:rsidRDefault="001000C1" w:rsidP="00AC6080">
      <w:pPr>
        <w:jc w:val="both"/>
      </w:pPr>
      <w:r>
        <w:t xml:space="preserve">Zu Recht wie der BFH nun entschied. Insbesondere die Einladung aller Kollegen des Finanzamts spräche gegen private, der Lebensführung des Steuerpflichtigen zuzurechnenden Umständen der Feier. Zuletzt schließe die maßvolle Höhe der Kosten, Veranstaltungsort und -zeit sowie die „Genehmigung“ der Feier durch die Amtsleitung eine private Veranlassung aus. </w:t>
      </w:r>
    </w:p>
    <w:p w:rsidR="00956DAF" w:rsidRDefault="001000C1" w:rsidP="00AC6080">
      <w:pPr>
        <w:pStyle w:val="berschrift2"/>
        <w:jc w:val="both"/>
      </w:pPr>
      <w:r w:rsidRPr="001000C1">
        <w:t>Beachten Sie</w:t>
      </w:r>
    </w:p>
    <w:p w:rsidR="008D23A2" w:rsidRDefault="001000C1" w:rsidP="00AC6080">
      <w:pPr>
        <w:jc w:val="both"/>
      </w:pPr>
      <w:r>
        <w:t xml:space="preserve">Es ist sorgfältig zu prüfen, ob eine solche Feier nicht dem privaten Bereich zuzuordnen ist. Insoweit ist mitentscheidend, welche Personen eingeladen werden. Werden Arbeitskollegen wegen ihrer Zugehörigkeit zu einer bestimmten betrieblichen Einheit (z.B. alle Arbeitnehmer einer Abteilung) oder nach </w:t>
      </w:r>
      <w:r>
        <w:lastRenderedPageBreak/>
        <w:t>ihrer Funktion, die sie innerhalb des Betriebs ausüben (z.B. alle Außendienstmitarbeiter oder Auszubildenden), eingeladen, legt dies den Schluss nahe, dass die Aufwendungen für diese Gäste (nahezu) ausschließlich beruflich veranlasst sind</w:t>
      </w:r>
      <w:r w:rsidR="007E4EDC">
        <w:t>. Dies gilt auch dann</w:t>
      </w:r>
      <w:r>
        <w:t xml:space="preserve">, wenn der </w:t>
      </w:r>
      <w:r w:rsidR="007E4EDC">
        <w:t>Steuerpflichtige</w:t>
      </w:r>
      <w:r>
        <w:t xml:space="preserve"> zu einzelnen dieser eingeladenen Kollegen freundschaftlichen Kontakt pflegen sollte. Werden demgegenüber nur einzelne Arbeitskollegen eingeladen, kann dies auf eine nicht nur unerhebliche private Mitveranlassung der Aufwendungen für diese Gäste schließen lassen – in diesen Fällen beteiligt sich der Fiskus nicht an den Aufwendungen für die Feierlichkeiten!</w:t>
      </w:r>
    </w:p>
    <w:p w:rsidR="00956DAF" w:rsidRDefault="00956DAF" w:rsidP="00AC6080">
      <w:pPr>
        <w:pStyle w:val="berschrift1"/>
        <w:jc w:val="both"/>
      </w:pPr>
      <w:bookmarkStart w:id="11" w:name="_Toc465681745"/>
      <w:r>
        <w:t>Abzug eines Disagios</w:t>
      </w:r>
      <w:bookmarkEnd w:id="11"/>
    </w:p>
    <w:p w:rsidR="00956DAF" w:rsidRDefault="00956DAF" w:rsidP="00AC6080">
      <w:pPr>
        <w:jc w:val="both"/>
      </w:pPr>
      <w:r>
        <w:t>Steuerlich gilt im Bereich der sogenannten Überschusseinkünfte (also z.B</w:t>
      </w:r>
      <w:r w:rsidR="003F6E1B">
        <w:t>.</w:t>
      </w:r>
      <w:r>
        <w:t xml:space="preserve"> aus Vermietung und Verpachtung) der Grundsatz, dass Ausgaben für eine Nutzungsüberlassung von mehr als fünf Jahren gleichmäßig auf den Zeitraum zu verteilen sind, für welchen </w:t>
      </w:r>
      <w:r w:rsidR="00530150">
        <w:t>sie</w:t>
      </w:r>
      <w:r>
        <w:t xml:space="preserve"> geleistet werden.</w:t>
      </w:r>
      <w:r w:rsidR="00FA121A">
        <w:t xml:space="preserve"> Eine Ausnahme gilt jedoch ausdrücklich für ein Dis</w:t>
      </w:r>
      <w:r w:rsidR="003214A2">
        <w:t>agio.</w:t>
      </w:r>
    </w:p>
    <w:p w:rsidR="00FA121A" w:rsidRDefault="00FA121A" w:rsidP="00AC6080">
      <w:pPr>
        <w:pStyle w:val="berschrift2"/>
        <w:jc w:val="both"/>
      </w:pPr>
      <w:r>
        <w:t>Disagio</w:t>
      </w:r>
    </w:p>
    <w:p w:rsidR="00FA121A" w:rsidRPr="00530150" w:rsidRDefault="00FA121A" w:rsidP="00AC6080">
      <w:pPr>
        <w:jc w:val="both"/>
      </w:pPr>
      <w:r>
        <w:t>Als Disagio versteht man den Unterschiedsbetrag zwischen Nenn- und Auszahlungsbetrag eines Darlehens</w:t>
      </w:r>
      <w:r w:rsidR="003214A2">
        <w:t xml:space="preserve"> oder einer sonstigen </w:t>
      </w:r>
      <w:r w:rsidR="003214A2" w:rsidRPr="00530150">
        <w:t xml:space="preserve">Schuld. </w:t>
      </w:r>
      <w:r w:rsidR="009F262D" w:rsidRPr="00530150">
        <w:t>Das Disagio stellt im Ergebnis vorausbezahlten Zins dar</w:t>
      </w:r>
      <w:r w:rsidR="00530150" w:rsidRPr="00530150">
        <w:t xml:space="preserve"> und bewirkt damit eine Senkung des Nominalzinses für das Darlehen</w:t>
      </w:r>
      <w:r w:rsidR="003214A2" w:rsidRPr="00530150">
        <w:t>.</w:t>
      </w:r>
    </w:p>
    <w:p w:rsidR="003214A2" w:rsidRDefault="003214A2" w:rsidP="00AC6080">
      <w:pPr>
        <w:pStyle w:val="berschrift2"/>
        <w:jc w:val="both"/>
      </w:pPr>
      <w:r>
        <w:t>Sofortabzug</w:t>
      </w:r>
    </w:p>
    <w:p w:rsidR="003214A2" w:rsidRDefault="003214A2" w:rsidP="00AC6080">
      <w:pPr>
        <w:jc w:val="both"/>
      </w:pPr>
      <w:r>
        <w:t>Die Ausnahme</w:t>
      </w:r>
      <w:r w:rsidR="00530150">
        <w:t xml:space="preserve"> vom Verteilungsgrundsatz und damit der</w:t>
      </w:r>
      <w:r>
        <w:t xml:space="preserve"> Sofortabzugs eines Disagios greift jedoch nur dann, wenn das Disagio für ein Darlehen </w:t>
      </w:r>
      <w:r w:rsidR="00530150">
        <w:t>mit</w:t>
      </w:r>
      <w:r>
        <w:t xml:space="preserve"> eine</w:t>
      </w:r>
      <w:r w:rsidR="00530150">
        <w:t>r</w:t>
      </w:r>
      <w:r>
        <w:t xml:space="preserve"> Laufzeit von mehr als fünf Jahren gezahlt wird und die entsprechende</w:t>
      </w:r>
      <w:r w:rsidR="00530150">
        <w:t>n Konditionen marktüblich sind.</w:t>
      </w:r>
    </w:p>
    <w:p w:rsidR="003214A2" w:rsidRDefault="003214A2" w:rsidP="00AC6080">
      <w:pPr>
        <w:pStyle w:val="berschrift2"/>
        <w:jc w:val="both"/>
      </w:pPr>
      <w:r>
        <w:t>Wann ist ein Disagio marktüblich?</w:t>
      </w:r>
      <w:r w:rsidRPr="003214A2">
        <w:t xml:space="preserve"> </w:t>
      </w:r>
    </w:p>
    <w:p w:rsidR="003214A2" w:rsidRDefault="003214A2" w:rsidP="00AC6080">
      <w:pPr>
        <w:jc w:val="both"/>
      </w:pPr>
      <w:r>
        <w:t>Nach Auffassung der Finanzverwaltung ist eine solche Marktüblichkeit nur bis zu einer Höhe des Disagios von 5</w:t>
      </w:r>
      <w:r w:rsidR="003F6E1B">
        <w:t xml:space="preserve"> </w:t>
      </w:r>
      <w:r>
        <w:t xml:space="preserve">% der Darlehenssumme gegeben – ein höheres Disagio ist daher nach den allgemeinen </w:t>
      </w:r>
      <w:r>
        <w:lastRenderedPageBreak/>
        <w:t>Regeln über die Laufzeit der Darlehensgewährung zu verteilen.</w:t>
      </w:r>
    </w:p>
    <w:p w:rsidR="003214A2" w:rsidRDefault="003214A2" w:rsidP="00AC6080">
      <w:pPr>
        <w:jc w:val="both"/>
      </w:pPr>
      <w:r>
        <w:t xml:space="preserve">Dieser Auffassung folgte der BFH in einer aktuellen Entscheidung nicht! Vielmehr sei </w:t>
      </w:r>
      <w:r w:rsidR="003F6E1B">
        <w:t>für die Beantwortung der Frage der Marktüblichkeit auf die</w:t>
      </w:r>
      <w:r>
        <w:t xml:space="preserve"> aktuellen Verhältnisse </w:t>
      </w:r>
      <w:r w:rsidR="00B907E8">
        <w:t>auf dem Kreditmarkt bezogen auf das konkret zu finanzierende Objekt abzustellen. Im Fall eines mit einem Hypothekendarlehen finanzierten Mehrfamilienhaus mit einer festen Zinsbindung von zehn Jahren und einem Nominalzins i.H.v. 2,85 % jährlich, sah der BFH ein Disagio von 10 % der Darlehenssumme noch als marktüblich an und gewährte dem Steuerpflichtigen den Sofortabzug als Werbungskosten.</w:t>
      </w:r>
    </w:p>
    <w:p w:rsidR="00B907E8" w:rsidRDefault="00B907E8" w:rsidP="00AC6080">
      <w:pPr>
        <w:pStyle w:val="berschrift2"/>
        <w:jc w:val="both"/>
      </w:pPr>
      <w:r w:rsidRPr="00B907E8">
        <w:t>Folgen für die Praxis</w:t>
      </w:r>
    </w:p>
    <w:p w:rsidR="00B907E8" w:rsidRDefault="00B907E8" w:rsidP="00AC6080">
      <w:pPr>
        <w:jc w:val="both"/>
      </w:pPr>
      <w:r>
        <w:t>Der BFH hat klargestellt, dass bei Finanzierungen über eine Geschäftsbank die Vermutung der Marktüblichkeit eines Disagios indiziert ist, wenn nicht besondere Umstände des Einzelfalls gegen diese Vermutung sprechen.</w:t>
      </w:r>
    </w:p>
    <w:p w:rsidR="00AC6080" w:rsidRDefault="00AC6080" w:rsidP="00AC6080">
      <w:pPr>
        <w:jc w:val="both"/>
      </w:pPr>
    </w:p>
    <w:p w:rsidR="00B907E8" w:rsidRPr="00B907E8" w:rsidRDefault="00B907E8" w:rsidP="00AC6080">
      <w:pPr>
        <w:jc w:val="both"/>
      </w:pPr>
      <w:r>
        <w:t>Allerdings sollte bei entsprechenden Darlehensvereinbarungen nicht nur der steuerliche Aspekt des Sofortabzugs eines solchen Disagios betrachtet werden – ob ein Disagio für den Darlehensnehmer wirtschaftlich sinnvoll ist, hängt von vielen Faktoren, z.B. die Höhe des Zinssatzes, die Laufzeit des Darlehens und die Renditeerwartungen aus dem Finanzierungsobjekt ab. Gerne beraten wir Sie auch in solchen betriebswirtschaftlichen Fragen kompetent und umfassend!</w:t>
      </w:r>
    </w:p>
    <w:p w:rsidR="003C2A35" w:rsidRPr="009F223B" w:rsidRDefault="00320A68" w:rsidP="00AC6080">
      <w:pPr>
        <w:pStyle w:val="berschrift1"/>
        <w:jc w:val="both"/>
      </w:pPr>
      <w:bookmarkStart w:id="12" w:name="_Toc463861015"/>
      <w:bookmarkStart w:id="13" w:name="_Toc463861093"/>
      <w:bookmarkStart w:id="14" w:name="_Toc465681746"/>
      <w:r>
        <w:br w:type="column"/>
      </w:r>
      <w:r w:rsidR="003C2A35" w:rsidRPr="009F223B">
        <w:lastRenderedPageBreak/>
        <w:t>Weitere Informationen</w:t>
      </w:r>
      <w:bookmarkEnd w:id="12"/>
      <w:bookmarkEnd w:id="13"/>
      <w:bookmarkEnd w:id="14"/>
      <w:r w:rsidR="003C2A35" w:rsidRPr="009F223B">
        <w:t xml:space="preserve"> </w:t>
      </w:r>
    </w:p>
    <w:p w:rsidR="003C2A35" w:rsidRPr="009F223B" w:rsidRDefault="003C2A35" w:rsidP="00AC6080">
      <w:pPr>
        <w:jc w:val="both"/>
      </w:pPr>
      <w:r w:rsidRPr="009F223B">
        <w:t>Die vorstehenden Ausführungen und Beiträge sind nach bestem Wissen und Kenntnisstand verfasst worden. Es handelt sich nicht um abschließende Informationen und ersetzt keine Beratung. Eine Haftung für den Inhalt dieses Informationsbrief</w:t>
      </w:r>
      <w:r w:rsidR="006012D8">
        <w:t>e</w:t>
      </w:r>
      <w:r w:rsidRPr="009F223B">
        <w:t>s kann daher nicht übernommen werden.</w:t>
      </w:r>
    </w:p>
    <w:p w:rsidR="00B04DC0" w:rsidRDefault="00081071" w:rsidP="002A0617">
      <w:pPr>
        <w:jc w:val="both"/>
      </w:pPr>
    </w:p>
    <w:p w:rsidR="00081071" w:rsidRDefault="00081071" w:rsidP="00081071">
      <w:pPr>
        <w:jc w:val="both"/>
      </w:pPr>
      <w:r>
        <w:rPr>
          <w:rFonts w:cs="Arial"/>
          <w:sz w:val="20"/>
        </w:rPr>
        <w:t>Sollten Sie Fragen zu diesen oder anderen Punkten haben so wenden Sie sich bitte an uns.</w:t>
      </w:r>
    </w:p>
    <w:p w:rsidR="00081071" w:rsidRDefault="00081071" w:rsidP="002A0617">
      <w:pPr>
        <w:jc w:val="both"/>
      </w:pPr>
      <w:bookmarkStart w:id="15" w:name="_GoBack"/>
      <w:bookmarkEnd w:id="15"/>
    </w:p>
    <w:sectPr w:rsidR="00081071" w:rsidSect="00320A68">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2C" w:rsidRDefault="00A9422C">
      <w:r>
        <w:separator/>
      </w:r>
    </w:p>
  </w:endnote>
  <w:endnote w:type="continuationSeparator" w:id="0">
    <w:p w:rsidR="00A9422C" w:rsidRDefault="00A9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FA" w:rsidRDefault="00525FF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07" w:rsidRPr="0008304D" w:rsidRDefault="00081071" w:rsidP="00D33604">
    <w:pPr>
      <w:pStyle w:val="Fuzeile"/>
      <w:jc w:val="center"/>
      <w:rPr>
        <w:sz w:val="12"/>
      </w:rPr>
    </w:pPr>
  </w:p>
  <w:p w:rsidR="00203B07" w:rsidRPr="0008304D" w:rsidRDefault="00EC3933" w:rsidP="00D33604">
    <w:pPr>
      <w:pStyle w:val="Fuzeile"/>
      <w:jc w:val="center"/>
    </w:pPr>
    <w:r>
      <w:rPr>
        <w:noProof/>
        <w:lang w:eastAsia="de-DE"/>
      </w:rPr>
      <mc:AlternateContent>
        <mc:Choice Requires="wps">
          <w:drawing>
            <wp:inline distT="0" distB="0" distL="0" distR="0" wp14:anchorId="50A03F32" wp14:editId="2EA53922">
              <wp:extent cx="5933440" cy="54610"/>
              <wp:effectExtent l="38100" t="0" r="0" b="21590"/>
              <wp:docPr id="3" name="Flussdiagramm: Verzweigu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54610"/>
                      </a:xfrm>
                      <a:prstGeom prst="flowChartDecision">
                        <a:avLst/>
                      </a:prstGeom>
                      <a:solidFill>
                        <a:srgbClr val="0050EC"/>
                      </a:solidFill>
                      <a:ln w="9525">
                        <a:solidFill>
                          <a:srgbClr val="003399"/>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69195DF3" id="_x0000_t110" coordsize="21600,21600" o:spt="110" path="m10800,l,10800,10800,21600,21600,10800xe">
              <v:stroke joinstyle="miter"/>
              <v:path gradientshapeok="t" o:connecttype="rect" textboxrect="5400,5400,16200,16200"/>
            </v:shapetype>
            <v:shape id="Flussdiagramm: Verzweigung 2"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" fillcolor="#0050ec" strokecolor="#039">
              <w10:anchorlock/>
            </v:shape>
          </w:pict>
        </mc:Fallback>
      </mc:AlternateContent>
    </w:r>
  </w:p>
  <w:p w:rsidR="00203B07" w:rsidRPr="0008304D" w:rsidRDefault="00EC3933" w:rsidP="00D33604">
    <w:pPr>
      <w:pStyle w:val="Fuzeile"/>
      <w:jc w:val="center"/>
      <w:rPr>
        <w:rFonts w:cs="Arial"/>
      </w:rPr>
    </w:pPr>
    <w:r w:rsidRPr="0008304D">
      <w:rPr>
        <w:rFonts w:cs="Arial"/>
      </w:rPr>
      <w:fldChar w:fldCharType="begin"/>
    </w:r>
    <w:r w:rsidRPr="0008304D">
      <w:rPr>
        <w:rFonts w:cs="Arial"/>
      </w:rPr>
      <w:instrText xml:space="preserve"> PAGE    \* MERGEFORMAT </w:instrText>
    </w:r>
    <w:r w:rsidRPr="0008304D">
      <w:rPr>
        <w:rFonts w:cs="Arial"/>
      </w:rPr>
      <w:fldChar w:fldCharType="separate"/>
    </w:r>
    <w:r w:rsidR="00081071">
      <w:rPr>
        <w:rFonts w:cs="Arial"/>
        <w:noProof/>
      </w:rPr>
      <w:t>10</w:t>
    </w:r>
    <w:r w:rsidRPr="0008304D">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FA" w:rsidRDefault="00525FFA">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07" w:rsidRPr="005D0114" w:rsidRDefault="00EC3933" w:rsidP="00D33604">
    <w:pPr>
      <w:ind w:right="-851"/>
      <w:rPr>
        <w:rFonts w:cs="Arial"/>
        <w:sz w:val="20"/>
        <w:lang w:val="en-US"/>
      </w:rPr>
    </w:pPr>
    <w:r w:rsidRPr="002E009D">
      <w:rPr>
        <w:rFonts w:cs="Arial"/>
        <w:sz w:val="20"/>
        <w:lang w:val="en-US"/>
      </w:rPr>
      <w:t xml:space="preserve">© </w:t>
    </w:r>
    <w:r>
      <w:rPr>
        <w:rFonts w:cs="Arial"/>
        <w:sz w:val="20"/>
        <w:lang w:val="en-US"/>
      </w:rPr>
      <w:t>25.September 2014</w:t>
    </w:r>
    <w:r w:rsidRPr="002E009D">
      <w:rPr>
        <w:rFonts w:cs="Arial"/>
        <w:sz w:val="20"/>
        <w:lang w:val="en-US"/>
      </w:rPr>
      <w:t xml:space="preserve"> by Jörg</w:t>
    </w:r>
    <w:r>
      <w:rPr>
        <w:rFonts w:cs="Arial"/>
        <w:sz w:val="20"/>
        <w:lang w:val="en-US"/>
      </w:rPr>
      <w:t xml:space="preserve"> Romanowski, Berlin</w:t>
    </w:r>
    <w:r>
      <w:rPr>
        <w:rFonts w:cs="Arial"/>
        <w:sz w:val="20"/>
        <w:lang w:val="en-US"/>
      </w:rPr>
      <w:tab/>
    </w:r>
    <w:r>
      <w:rPr>
        <w:rFonts w:cs="Arial"/>
        <w:sz w:val="20"/>
        <w:lang w:val="en-US"/>
      </w:rPr>
      <w:tab/>
    </w:r>
    <w:r>
      <w:rPr>
        <w:rFonts w:cs="Arial"/>
        <w:sz w:val="20"/>
        <w:lang w:val="en-US"/>
      </w:rPr>
      <w:tab/>
    </w:r>
    <w:r>
      <w:rPr>
        <w:rFonts w:cs="Arial"/>
        <w:sz w:val="20"/>
        <w:lang w:val="en-US"/>
      </w:rPr>
      <w:tab/>
      <w:t xml:space="preserve">   </w:t>
    </w:r>
    <w:r w:rsidRPr="00832D00">
      <w:rPr>
        <w:rFonts w:cs="Arial"/>
        <w:noProof/>
        <w:sz w:val="20"/>
        <w:lang w:eastAsia="de-DE"/>
      </w:rPr>
      <w:drawing>
        <wp:inline distT="0" distB="0" distL="0" distR="0" wp14:anchorId="30DF558D" wp14:editId="02E1D94B">
          <wp:extent cx="786130" cy="512445"/>
          <wp:effectExtent l="0" t="0" r="0" b="0"/>
          <wp:docPr id="7" name="Grafik 7" descr="Beschreibung: \\.psf\Host\Volumes\grimnitz\Documents\gcug\Logo und Briefpapier\gc_BB_rz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psf\Host\Volumes\grimnitz\Documents\gcug\Logo und Briefpapier\gc_BB_rz_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12445"/>
                  </a:xfrm>
                  <a:prstGeom prst="rect">
                    <a:avLst/>
                  </a:prstGeom>
                  <a:noFill/>
                  <a:ln>
                    <a:noFill/>
                  </a:ln>
                </pic:spPr>
              </pic:pic>
            </a:graphicData>
          </a:graphic>
        </wp:inline>
      </w:drawing>
    </w:r>
  </w:p>
  <w:p w:rsidR="00203B07" w:rsidRPr="00046DC5" w:rsidRDefault="00081071">
    <w:pPr>
      <w:pStyle w:val="Fuzeile"/>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F1" w:rsidRPr="005D0114" w:rsidRDefault="00EC3933" w:rsidP="00D33604">
    <w:pPr>
      <w:ind w:right="-851"/>
      <w:rPr>
        <w:rFonts w:cs="Arial"/>
        <w:sz w:val="20"/>
        <w:lang w:val="en-US"/>
      </w:rPr>
    </w:pPr>
    <w:r w:rsidRPr="002E009D">
      <w:rPr>
        <w:rFonts w:cs="Arial"/>
        <w:sz w:val="20"/>
        <w:lang w:val="en-US"/>
      </w:rPr>
      <w:t xml:space="preserve">© </w:t>
    </w:r>
    <w:r>
      <w:rPr>
        <w:rFonts w:cs="Arial"/>
        <w:sz w:val="20"/>
        <w:lang w:val="en-US"/>
      </w:rPr>
      <w:t>25.September 2014</w:t>
    </w:r>
    <w:r w:rsidRPr="002E009D">
      <w:rPr>
        <w:rFonts w:cs="Arial"/>
        <w:sz w:val="20"/>
        <w:lang w:val="en-US"/>
      </w:rPr>
      <w:t xml:space="preserve"> by Jörg</w:t>
    </w:r>
    <w:r>
      <w:rPr>
        <w:rFonts w:cs="Arial"/>
        <w:sz w:val="20"/>
        <w:lang w:val="en-US"/>
      </w:rPr>
      <w:t xml:space="preserve"> Romanowski, Berlin</w:t>
    </w:r>
    <w:r>
      <w:rPr>
        <w:rFonts w:cs="Arial"/>
        <w:sz w:val="20"/>
        <w:lang w:val="en-US"/>
      </w:rPr>
      <w:tab/>
    </w:r>
    <w:r>
      <w:rPr>
        <w:rFonts w:cs="Arial"/>
        <w:sz w:val="20"/>
        <w:lang w:val="en-US"/>
      </w:rPr>
      <w:tab/>
    </w:r>
    <w:r>
      <w:rPr>
        <w:rFonts w:cs="Arial"/>
        <w:sz w:val="20"/>
        <w:lang w:val="en-US"/>
      </w:rPr>
      <w:tab/>
    </w:r>
    <w:r>
      <w:rPr>
        <w:rFonts w:cs="Arial"/>
        <w:sz w:val="20"/>
        <w:lang w:val="en-US"/>
      </w:rPr>
      <w:tab/>
      <w:t xml:space="preserve">   </w:t>
    </w:r>
    <w:r w:rsidRPr="00832D00">
      <w:rPr>
        <w:rFonts w:cs="Arial"/>
        <w:noProof/>
        <w:sz w:val="20"/>
        <w:lang w:eastAsia="de-DE"/>
      </w:rPr>
      <w:drawing>
        <wp:inline distT="0" distB="0" distL="0" distR="0" wp14:anchorId="7FAB8769" wp14:editId="7276BF67">
          <wp:extent cx="786130" cy="512445"/>
          <wp:effectExtent l="0" t="0" r="0" b="0"/>
          <wp:docPr id="10" name="Grafik 10" descr="Beschreibung: \\.psf\Host\Volumes\grimnitz\Documents\gcug\Logo und Briefpapier\gc_BB_rz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psf\Host\Volumes\grimnitz\Documents\gcug\Logo und Briefpapier\gc_BB_rz_ic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512445"/>
                  </a:xfrm>
                  <a:prstGeom prst="rect">
                    <a:avLst/>
                  </a:prstGeom>
                  <a:noFill/>
                  <a:ln>
                    <a:noFill/>
                  </a:ln>
                </pic:spPr>
              </pic:pic>
            </a:graphicData>
          </a:graphic>
        </wp:inline>
      </w:drawing>
    </w:r>
  </w:p>
  <w:p w:rsidR="00C43DF1" w:rsidRPr="00046DC5" w:rsidRDefault="00081071">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2C" w:rsidRDefault="00A9422C">
      <w:r>
        <w:separator/>
      </w:r>
    </w:p>
  </w:footnote>
  <w:footnote w:type="continuationSeparator" w:id="0">
    <w:p w:rsidR="00A9422C" w:rsidRDefault="00A9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FA" w:rsidRDefault="00525FF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B07" w:rsidRDefault="00525FFA" w:rsidP="00A873BB">
    <w:pPr>
      <w:pStyle w:val="Kopfzeile"/>
    </w:pPr>
    <w:r>
      <w:t xml:space="preserve">                                                                                                                             </w:t>
    </w:r>
    <w:r>
      <w:rPr>
        <w:noProof/>
        <w:lang w:eastAsia="de-DE"/>
      </w:rPr>
      <w:drawing>
        <wp:inline distT="0" distB="0" distL="0" distR="0" wp14:anchorId="5B45DC6D" wp14:editId="22262FD2">
          <wp:extent cx="1913255" cy="410845"/>
          <wp:effectExtent l="0" t="0" r="0" b="8255"/>
          <wp:docPr id="1" name="Grafik 1" descr="Logo%20Müller%20Steuerberatung%20rgb-farben1"/>
          <wp:cNvGraphicFramePr/>
          <a:graphic xmlns:a="http://schemas.openxmlformats.org/drawingml/2006/main">
            <a:graphicData uri="http://schemas.openxmlformats.org/drawingml/2006/picture">
              <pic:pic xmlns:pic="http://schemas.openxmlformats.org/drawingml/2006/picture">
                <pic:nvPicPr>
                  <pic:cNvPr id="6" name="Grafik 6" descr="Logo%20Müller%20Steuerberatung%20rgb-farben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4108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FA" w:rsidRDefault="00525FF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985"/>
      <w:gridCol w:w="347"/>
    </w:tblGrid>
    <w:tr w:rsidR="00203B07" w:rsidRPr="00884D19" w:rsidTr="00D33604">
      <w:trPr>
        <w:cantSplit/>
      </w:trPr>
      <w:tc>
        <w:tcPr>
          <w:tcW w:w="8711" w:type="dxa"/>
          <w:gridSpan w:val="3"/>
          <w:tcBorders>
            <w:top w:val="nil"/>
            <w:left w:val="nil"/>
            <w:bottom w:val="single" w:sz="4" w:space="0" w:color="auto"/>
            <w:right w:val="nil"/>
          </w:tcBorders>
        </w:tcPr>
        <w:p w:rsidR="00203B07" w:rsidRPr="00884D19" w:rsidRDefault="00EC3933" w:rsidP="00D33604">
          <w:pPr>
            <w:pStyle w:val="Kopfzeile"/>
            <w:ind w:left="-1063" w:right="360" w:firstLine="1063"/>
            <w:rPr>
              <w:rFonts w:ascii="Calibri" w:hAnsi="Calibri"/>
              <w:spacing w:val="28"/>
            </w:rPr>
          </w:pPr>
          <w:r w:rsidRPr="00832D00">
            <w:rPr>
              <w:rFonts w:ascii="Calibri" w:hAnsi="Calibri"/>
              <w:noProof/>
              <w:spacing w:val="28"/>
              <w:lang w:eastAsia="de-DE"/>
            </w:rPr>
            <w:drawing>
              <wp:inline distT="0" distB="0" distL="0" distR="0" wp14:anchorId="138D8A45" wp14:editId="37FE4665">
                <wp:extent cx="4129405" cy="751205"/>
                <wp:effectExtent l="0" t="0" r="0" b="0"/>
                <wp:docPr id="6" name="Grafik 6" descr="Beschreibung: \\.psf\Host\Volumes\grimnitz\Documents\gcug\Logo und Briefpapie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psf\Host\Volumes\grimnitz\Documents\gcug\Logo und Briefpapier\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405" cy="751205"/>
                        </a:xfrm>
                        <a:prstGeom prst="rect">
                          <a:avLst/>
                        </a:prstGeom>
                        <a:noFill/>
                        <a:ln>
                          <a:noFill/>
                        </a:ln>
                      </pic:spPr>
                    </pic:pic>
                  </a:graphicData>
                </a:graphic>
              </wp:inline>
            </w:drawing>
          </w:r>
        </w:p>
      </w:tc>
    </w:tr>
    <w:tr w:rsidR="00203B07" w:rsidRPr="005749C8" w:rsidTr="00D33604">
      <w:trPr>
        <w:gridAfter w:val="1"/>
        <w:wAfter w:w="347" w:type="dxa"/>
        <w:cantSplit/>
      </w:trPr>
      <w:tc>
        <w:tcPr>
          <w:tcW w:w="6379" w:type="dxa"/>
          <w:tcBorders>
            <w:top w:val="single" w:sz="4" w:space="0" w:color="auto"/>
            <w:left w:val="nil"/>
            <w:bottom w:val="nil"/>
            <w:right w:val="nil"/>
          </w:tcBorders>
        </w:tcPr>
        <w:p w:rsidR="00203B07" w:rsidRPr="00A12655" w:rsidRDefault="00EC3933" w:rsidP="00D33604">
          <w:pPr>
            <w:ind w:right="497" w:firstLine="214"/>
            <w:rPr>
              <w:b/>
              <w:i/>
            </w:rPr>
          </w:pPr>
          <w:r>
            <w:rPr>
              <w:b/>
              <w:i/>
            </w:rPr>
            <w:t>Mandanteninformationsbrief 09.2014 - Mindestlohn</w:t>
          </w:r>
        </w:p>
      </w:tc>
      <w:tc>
        <w:tcPr>
          <w:tcW w:w="1985" w:type="dxa"/>
          <w:tcBorders>
            <w:top w:val="single" w:sz="4" w:space="0" w:color="auto"/>
            <w:left w:val="nil"/>
            <w:bottom w:val="nil"/>
            <w:right w:val="nil"/>
          </w:tcBorders>
        </w:tcPr>
        <w:p w:rsidR="00203B07" w:rsidRPr="005749C8" w:rsidRDefault="00081071" w:rsidP="00D33604"/>
      </w:tc>
    </w:tr>
  </w:tbl>
  <w:p w:rsidR="00203B07" w:rsidRDefault="00081071">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9"/>
      <w:gridCol w:w="1985"/>
      <w:gridCol w:w="347"/>
    </w:tblGrid>
    <w:tr w:rsidR="00C43DF1" w:rsidRPr="00884D19" w:rsidTr="00D33604">
      <w:trPr>
        <w:cantSplit/>
      </w:trPr>
      <w:tc>
        <w:tcPr>
          <w:tcW w:w="8711" w:type="dxa"/>
          <w:gridSpan w:val="3"/>
          <w:tcBorders>
            <w:top w:val="nil"/>
            <w:left w:val="nil"/>
            <w:bottom w:val="single" w:sz="4" w:space="0" w:color="auto"/>
            <w:right w:val="nil"/>
          </w:tcBorders>
        </w:tcPr>
        <w:p w:rsidR="00C43DF1" w:rsidRPr="00884D19" w:rsidRDefault="00EC3933" w:rsidP="00D33604">
          <w:pPr>
            <w:pStyle w:val="Kopfzeile"/>
            <w:ind w:left="-1063" w:right="360" w:firstLine="1063"/>
            <w:rPr>
              <w:rFonts w:ascii="Calibri" w:hAnsi="Calibri"/>
              <w:spacing w:val="28"/>
            </w:rPr>
          </w:pPr>
          <w:r w:rsidRPr="00832D00">
            <w:rPr>
              <w:rFonts w:ascii="Calibri" w:hAnsi="Calibri"/>
              <w:noProof/>
              <w:spacing w:val="28"/>
              <w:lang w:eastAsia="de-DE"/>
            </w:rPr>
            <w:drawing>
              <wp:inline distT="0" distB="0" distL="0" distR="0" wp14:anchorId="2D59C845" wp14:editId="6864D77B">
                <wp:extent cx="4129405" cy="751205"/>
                <wp:effectExtent l="0" t="0" r="0" b="0"/>
                <wp:docPr id="9" name="Grafik 9" descr="Beschreibung: \\.psf\Host\Volumes\grimnitz\Documents\gcug\Logo und Briefpapier\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psf\Host\Volumes\grimnitz\Documents\gcug\Logo und Briefpapier\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9405" cy="751205"/>
                        </a:xfrm>
                        <a:prstGeom prst="rect">
                          <a:avLst/>
                        </a:prstGeom>
                        <a:noFill/>
                        <a:ln>
                          <a:noFill/>
                        </a:ln>
                      </pic:spPr>
                    </pic:pic>
                  </a:graphicData>
                </a:graphic>
              </wp:inline>
            </w:drawing>
          </w:r>
        </w:p>
      </w:tc>
    </w:tr>
    <w:tr w:rsidR="00C43DF1" w:rsidRPr="005749C8" w:rsidTr="00D33604">
      <w:trPr>
        <w:gridAfter w:val="1"/>
        <w:wAfter w:w="347" w:type="dxa"/>
        <w:cantSplit/>
      </w:trPr>
      <w:tc>
        <w:tcPr>
          <w:tcW w:w="6379" w:type="dxa"/>
          <w:tcBorders>
            <w:top w:val="single" w:sz="4" w:space="0" w:color="auto"/>
            <w:left w:val="nil"/>
            <w:bottom w:val="nil"/>
            <w:right w:val="nil"/>
          </w:tcBorders>
        </w:tcPr>
        <w:p w:rsidR="00C43DF1" w:rsidRPr="00A12655" w:rsidRDefault="00EC3933" w:rsidP="00D33604">
          <w:pPr>
            <w:ind w:right="497" w:firstLine="214"/>
            <w:rPr>
              <w:b/>
              <w:i/>
            </w:rPr>
          </w:pPr>
          <w:r>
            <w:rPr>
              <w:b/>
              <w:i/>
            </w:rPr>
            <w:t>Mandanteninformationsbrief 09.2014 - Mindestlohn</w:t>
          </w:r>
        </w:p>
      </w:tc>
      <w:tc>
        <w:tcPr>
          <w:tcW w:w="1985" w:type="dxa"/>
          <w:tcBorders>
            <w:top w:val="single" w:sz="4" w:space="0" w:color="auto"/>
            <w:left w:val="nil"/>
            <w:bottom w:val="nil"/>
            <w:right w:val="nil"/>
          </w:tcBorders>
        </w:tcPr>
        <w:p w:rsidR="00C43DF1" w:rsidRPr="005749C8" w:rsidRDefault="00081071" w:rsidP="00D33604"/>
      </w:tc>
    </w:tr>
  </w:tbl>
  <w:p w:rsidR="00C43DF1" w:rsidRDefault="000810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51F"/>
    <w:multiLevelType w:val="multilevel"/>
    <w:tmpl w:val="9DDEDECE"/>
    <w:styleLink w:val="AufzhlungDownload"/>
    <w:lvl w:ilvl="0">
      <w:start w:val="1"/>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104262"/>
    <w:multiLevelType w:val="hybridMultilevel"/>
    <w:tmpl w:val="D9308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A71447"/>
    <w:multiLevelType w:val="hybridMultilevel"/>
    <w:tmpl w:val="44BC4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B54EB1"/>
    <w:multiLevelType w:val="hybridMultilevel"/>
    <w:tmpl w:val="5450F678"/>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73741B"/>
    <w:multiLevelType w:val="hybridMultilevel"/>
    <w:tmpl w:val="EE62A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957D38"/>
    <w:multiLevelType w:val="hybridMultilevel"/>
    <w:tmpl w:val="626E6C14"/>
    <w:lvl w:ilvl="0" w:tplc="B4721624">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8BE0A54"/>
    <w:multiLevelType w:val="hybridMultilevel"/>
    <w:tmpl w:val="CC80CC4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B6446F"/>
    <w:multiLevelType w:val="hybridMultilevel"/>
    <w:tmpl w:val="1AB62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B591501"/>
    <w:multiLevelType w:val="multilevel"/>
    <w:tmpl w:val="04070025"/>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nsid w:val="3E21263B"/>
    <w:multiLevelType w:val="hybridMultilevel"/>
    <w:tmpl w:val="989C2FE6"/>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003521B"/>
    <w:multiLevelType w:val="hybridMultilevel"/>
    <w:tmpl w:val="BCB62404"/>
    <w:lvl w:ilvl="0" w:tplc="5084458E">
      <w:numFmt w:val="bullet"/>
      <w:lvlText w:val="•"/>
      <w:lvlJc w:val="left"/>
      <w:pPr>
        <w:ind w:left="1065" w:hanging="705"/>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D195706"/>
    <w:multiLevelType w:val="hybridMultilevel"/>
    <w:tmpl w:val="5C1655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486292"/>
    <w:multiLevelType w:val="hybridMultilevel"/>
    <w:tmpl w:val="6792AFC8"/>
    <w:lvl w:ilvl="0" w:tplc="B47216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63233DD"/>
    <w:multiLevelType w:val="hybridMultilevel"/>
    <w:tmpl w:val="D0E46E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E23975"/>
    <w:multiLevelType w:val="hybridMultilevel"/>
    <w:tmpl w:val="00C86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9"/>
  </w:num>
  <w:num w:numId="5">
    <w:abstractNumId w:val="0"/>
  </w:num>
  <w:num w:numId="6">
    <w:abstractNumId w:val="7"/>
  </w:num>
  <w:num w:numId="7">
    <w:abstractNumId w:val="10"/>
  </w:num>
  <w:num w:numId="8">
    <w:abstractNumId w:val="5"/>
  </w:num>
  <w:num w:numId="9">
    <w:abstractNumId w:val="12"/>
  </w:num>
  <w:num w:numId="10">
    <w:abstractNumId w:val="8"/>
  </w:num>
  <w:num w:numId="11">
    <w:abstractNumId w:val="13"/>
  </w:num>
  <w:num w:numId="12">
    <w:abstractNumId w:val="14"/>
  </w:num>
  <w:num w:numId="13">
    <w:abstractNumId w:val="4"/>
  </w:num>
  <w:num w:numId="14">
    <w:abstractNumId w:val="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65E6A04-EED1-48E8-A276-DF0504C35BEC}"/>
    <w:docVar w:name="dgnword-eventsink" w:val="433253072"/>
  </w:docVars>
  <w:rsids>
    <w:rsidRoot w:val="00993585"/>
    <w:rsid w:val="00004186"/>
    <w:rsid w:val="0001085B"/>
    <w:rsid w:val="0001224D"/>
    <w:rsid w:val="00081071"/>
    <w:rsid w:val="000B56E2"/>
    <w:rsid w:val="000C3016"/>
    <w:rsid w:val="000C6D76"/>
    <w:rsid w:val="001000C1"/>
    <w:rsid w:val="00105B2D"/>
    <w:rsid w:val="0012609A"/>
    <w:rsid w:val="00127C4A"/>
    <w:rsid w:val="00167EFE"/>
    <w:rsid w:val="00173A98"/>
    <w:rsid w:val="00197301"/>
    <w:rsid w:val="001A1AD2"/>
    <w:rsid w:val="001C539D"/>
    <w:rsid w:val="00200A22"/>
    <w:rsid w:val="00297637"/>
    <w:rsid w:val="002A0617"/>
    <w:rsid w:val="002E35A2"/>
    <w:rsid w:val="00320A68"/>
    <w:rsid w:val="003214A2"/>
    <w:rsid w:val="003C2A35"/>
    <w:rsid w:val="003C7D32"/>
    <w:rsid w:val="003D4AFA"/>
    <w:rsid w:val="003F07ED"/>
    <w:rsid w:val="003F6E1B"/>
    <w:rsid w:val="0043523B"/>
    <w:rsid w:val="004458C3"/>
    <w:rsid w:val="00463B6E"/>
    <w:rsid w:val="004874F8"/>
    <w:rsid w:val="004A455F"/>
    <w:rsid w:val="004B4D26"/>
    <w:rsid w:val="004F6D81"/>
    <w:rsid w:val="005214B2"/>
    <w:rsid w:val="00525FFA"/>
    <w:rsid w:val="00530150"/>
    <w:rsid w:val="00541234"/>
    <w:rsid w:val="005A5A6A"/>
    <w:rsid w:val="005D6751"/>
    <w:rsid w:val="005E467B"/>
    <w:rsid w:val="006012D8"/>
    <w:rsid w:val="00645881"/>
    <w:rsid w:val="0065232B"/>
    <w:rsid w:val="006679E0"/>
    <w:rsid w:val="006757BE"/>
    <w:rsid w:val="006779AC"/>
    <w:rsid w:val="00725CA6"/>
    <w:rsid w:val="00737C89"/>
    <w:rsid w:val="00747DD9"/>
    <w:rsid w:val="007541AA"/>
    <w:rsid w:val="00766626"/>
    <w:rsid w:val="007924D0"/>
    <w:rsid w:val="007A51E8"/>
    <w:rsid w:val="007E4EDC"/>
    <w:rsid w:val="007E5550"/>
    <w:rsid w:val="00883C61"/>
    <w:rsid w:val="008B0253"/>
    <w:rsid w:val="008D23A2"/>
    <w:rsid w:val="008D46E8"/>
    <w:rsid w:val="00941EC5"/>
    <w:rsid w:val="009549F8"/>
    <w:rsid w:val="00956DAF"/>
    <w:rsid w:val="009870FB"/>
    <w:rsid w:val="00993585"/>
    <w:rsid w:val="009D1590"/>
    <w:rsid w:val="009D6CC2"/>
    <w:rsid w:val="009E6A68"/>
    <w:rsid w:val="009F262D"/>
    <w:rsid w:val="00A010EE"/>
    <w:rsid w:val="00A03F36"/>
    <w:rsid w:val="00A423E0"/>
    <w:rsid w:val="00A43E82"/>
    <w:rsid w:val="00A9422C"/>
    <w:rsid w:val="00A95BEC"/>
    <w:rsid w:val="00AC6080"/>
    <w:rsid w:val="00AD154C"/>
    <w:rsid w:val="00B11A7D"/>
    <w:rsid w:val="00B55ED0"/>
    <w:rsid w:val="00B577E9"/>
    <w:rsid w:val="00B61DCD"/>
    <w:rsid w:val="00B63FDF"/>
    <w:rsid w:val="00B66E7E"/>
    <w:rsid w:val="00B7307C"/>
    <w:rsid w:val="00B907E8"/>
    <w:rsid w:val="00B92764"/>
    <w:rsid w:val="00BB2581"/>
    <w:rsid w:val="00BC01AF"/>
    <w:rsid w:val="00BD2F30"/>
    <w:rsid w:val="00C4705A"/>
    <w:rsid w:val="00C95F63"/>
    <w:rsid w:val="00CC1B22"/>
    <w:rsid w:val="00CF587F"/>
    <w:rsid w:val="00D24441"/>
    <w:rsid w:val="00D73E44"/>
    <w:rsid w:val="00D97832"/>
    <w:rsid w:val="00DE3C9F"/>
    <w:rsid w:val="00E0072A"/>
    <w:rsid w:val="00E0524C"/>
    <w:rsid w:val="00E107B4"/>
    <w:rsid w:val="00E40CB9"/>
    <w:rsid w:val="00E74D8F"/>
    <w:rsid w:val="00EA0E57"/>
    <w:rsid w:val="00EB1C89"/>
    <w:rsid w:val="00EC3933"/>
    <w:rsid w:val="00F1151A"/>
    <w:rsid w:val="00F72E3A"/>
    <w:rsid w:val="00F958D2"/>
    <w:rsid w:val="00FA121A"/>
    <w:rsid w:val="00FA3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016"/>
    <w:pPr>
      <w:spacing w:after="0" w:line="240" w:lineRule="auto"/>
    </w:pPr>
    <w:rPr>
      <w:rFonts w:ascii="Cambria" w:eastAsia="Calibri" w:hAnsi="Cambria" w:cs="Times New Roman"/>
    </w:rPr>
  </w:style>
  <w:style w:type="paragraph" w:styleId="berschrift1">
    <w:name w:val="heading 1"/>
    <w:basedOn w:val="Standard"/>
    <w:next w:val="Standard"/>
    <w:link w:val="berschrift1Zchn"/>
    <w:uiPriority w:val="9"/>
    <w:qFormat/>
    <w:rsid w:val="00B61DCD"/>
    <w:pPr>
      <w:keepNext/>
      <w:keepLines/>
      <w:numPr>
        <w:numId w:val="10"/>
      </w:numPr>
      <w:spacing w:before="480" w:after="120"/>
      <w:outlineLvl w:val="0"/>
    </w:pPr>
    <w:rPr>
      <w:rFonts w:eastAsiaTheme="majorEastAsia" w:cstheme="majorBidi"/>
      <w:b/>
      <w:color w:val="0050EC"/>
      <w:szCs w:val="32"/>
    </w:rPr>
  </w:style>
  <w:style w:type="paragraph" w:styleId="berschrift2">
    <w:name w:val="heading 2"/>
    <w:basedOn w:val="Standard"/>
    <w:next w:val="Standard"/>
    <w:link w:val="berschrift2Zchn"/>
    <w:uiPriority w:val="9"/>
    <w:unhideWhenUsed/>
    <w:qFormat/>
    <w:rsid w:val="00D24441"/>
    <w:pPr>
      <w:keepNext/>
      <w:keepLines/>
      <w:spacing w:before="24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BB2581"/>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B2581"/>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B258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2581"/>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B2581"/>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B258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B258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93585"/>
    <w:pPr>
      <w:tabs>
        <w:tab w:val="center" w:pos="4536"/>
        <w:tab w:val="right" w:pos="9072"/>
      </w:tabs>
    </w:pPr>
  </w:style>
  <w:style w:type="character" w:customStyle="1" w:styleId="KopfzeileZchn">
    <w:name w:val="Kopfzeile Zchn"/>
    <w:basedOn w:val="Absatz-Standardschriftart"/>
    <w:link w:val="Kopfzeile"/>
    <w:rsid w:val="00993585"/>
    <w:rPr>
      <w:rFonts w:ascii="Arial" w:eastAsia="Calibri" w:hAnsi="Arial" w:cs="Times New Roman"/>
    </w:rPr>
  </w:style>
  <w:style w:type="paragraph" w:styleId="Fuzeile">
    <w:name w:val="footer"/>
    <w:basedOn w:val="Standard"/>
    <w:link w:val="FuzeileZchn"/>
    <w:uiPriority w:val="99"/>
    <w:unhideWhenUsed/>
    <w:rsid w:val="00993585"/>
    <w:pPr>
      <w:tabs>
        <w:tab w:val="center" w:pos="4536"/>
        <w:tab w:val="right" w:pos="9072"/>
      </w:tabs>
    </w:pPr>
  </w:style>
  <w:style w:type="character" w:customStyle="1" w:styleId="FuzeileZchn">
    <w:name w:val="Fußzeile Zchn"/>
    <w:basedOn w:val="Absatz-Standardschriftart"/>
    <w:link w:val="Fuzeile"/>
    <w:uiPriority w:val="99"/>
    <w:rsid w:val="00993585"/>
    <w:rPr>
      <w:rFonts w:ascii="Arial" w:eastAsia="Calibri" w:hAnsi="Arial" w:cs="Times New Roman"/>
    </w:rPr>
  </w:style>
  <w:style w:type="paragraph" w:styleId="Listenabsatz">
    <w:name w:val="List Paragraph"/>
    <w:basedOn w:val="Standard"/>
    <w:link w:val="ListenabsatzZchn"/>
    <w:uiPriority w:val="34"/>
    <w:qFormat/>
    <w:rsid w:val="00993585"/>
    <w:pPr>
      <w:spacing w:line="276" w:lineRule="auto"/>
      <w:ind w:left="720"/>
      <w:contextualSpacing/>
      <w:jc w:val="both"/>
    </w:pPr>
    <w:rPr>
      <w:rFonts w:eastAsia="Times New Roman"/>
      <w:szCs w:val="24"/>
      <w:lang w:eastAsia="de-DE"/>
    </w:rPr>
  </w:style>
  <w:style w:type="character" w:customStyle="1" w:styleId="ListenabsatzZchn">
    <w:name w:val="Listenabsatz Zchn"/>
    <w:link w:val="Listenabsatz"/>
    <w:uiPriority w:val="34"/>
    <w:locked/>
    <w:rsid w:val="00993585"/>
    <w:rPr>
      <w:rFonts w:ascii="Arial" w:eastAsia="Times New Roman" w:hAnsi="Arial" w:cs="Times New Roman"/>
      <w:szCs w:val="24"/>
      <w:lang w:eastAsia="de-DE"/>
    </w:rPr>
  </w:style>
  <w:style w:type="table" w:styleId="Tabellenraster">
    <w:name w:val="Table Grid"/>
    <w:basedOn w:val="NormaleTabelle"/>
    <w:uiPriority w:val="59"/>
    <w:rsid w:val="009935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hlungDownload">
    <w:name w:val="Aufzählung Download"/>
    <w:basedOn w:val="KeineListe"/>
    <w:rsid w:val="00993585"/>
    <w:pPr>
      <w:numPr>
        <w:numId w:val="5"/>
      </w:numPr>
    </w:pPr>
  </w:style>
  <w:style w:type="character" w:customStyle="1" w:styleId="berschrift1Zchn">
    <w:name w:val="Überschrift 1 Zchn"/>
    <w:basedOn w:val="Absatz-Standardschriftart"/>
    <w:link w:val="berschrift1"/>
    <w:uiPriority w:val="9"/>
    <w:rsid w:val="00B61DCD"/>
    <w:rPr>
      <w:rFonts w:ascii="Cambria" w:eastAsiaTheme="majorEastAsia" w:hAnsi="Cambria" w:cstheme="majorBidi"/>
      <w:b/>
      <w:color w:val="0050EC"/>
      <w:szCs w:val="32"/>
    </w:rPr>
  </w:style>
  <w:style w:type="character" w:customStyle="1" w:styleId="berschrift2Zchn">
    <w:name w:val="Überschrift 2 Zchn"/>
    <w:basedOn w:val="Absatz-Standardschriftart"/>
    <w:link w:val="berschrift2"/>
    <w:uiPriority w:val="9"/>
    <w:rsid w:val="00D24441"/>
    <w:rPr>
      <w:rFonts w:ascii="Cambria" w:eastAsiaTheme="majorEastAsia" w:hAnsi="Cambria" w:cstheme="majorBidi"/>
      <w:b/>
      <w:szCs w:val="26"/>
    </w:rPr>
  </w:style>
  <w:style w:type="character" w:customStyle="1" w:styleId="berschrift3Zchn">
    <w:name w:val="Überschrift 3 Zchn"/>
    <w:basedOn w:val="Absatz-Standardschriftart"/>
    <w:link w:val="berschrift3"/>
    <w:uiPriority w:val="9"/>
    <w:semiHidden/>
    <w:rsid w:val="00BB258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B258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B258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B258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B258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B258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B2581"/>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24441"/>
    <w:pPr>
      <w:numPr>
        <w:numId w:val="0"/>
      </w:numPr>
      <w:spacing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B577E9"/>
    <w:pPr>
      <w:tabs>
        <w:tab w:val="left" w:pos="851"/>
      </w:tabs>
      <w:ind w:left="454"/>
    </w:pPr>
    <w:rPr>
      <w:sz w:val="20"/>
    </w:rPr>
  </w:style>
  <w:style w:type="paragraph" w:styleId="Verzeichnis2">
    <w:name w:val="toc 2"/>
    <w:basedOn w:val="Standard"/>
    <w:next w:val="Standard"/>
    <w:autoRedefine/>
    <w:uiPriority w:val="39"/>
    <w:unhideWhenUsed/>
    <w:rsid w:val="00D24441"/>
    <w:pPr>
      <w:spacing w:after="100"/>
      <w:ind w:left="220"/>
    </w:pPr>
  </w:style>
  <w:style w:type="character" w:styleId="Hyperlink">
    <w:name w:val="Hyperlink"/>
    <w:basedOn w:val="Absatz-Standardschriftart"/>
    <w:uiPriority w:val="99"/>
    <w:unhideWhenUsed/>
    <w:rsid w:val="00D24441"/>
    <w:rPr>
      <w:color w:val="0563C1" w:themeColor="hyperlink"/>
      <w:u w:val="single"/>
    </w:rPr>
  </w:style>
  <w:style w:type="paragraph" w:styleId="Titel">
    <w:name w:val="Title"/>
    <w:basedOn w:val="Standard"/>
    <w:next w:val="Standard"/>
    <w:link w:val="TitelZchn"/>
    <w:uiPriority w:val="10"/>
    <w:qFormat/>
    <w:rsid w:val="0054123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234"/>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56DAF"/>
    <w:rPr>
      <w:b/>
      <w:bCs/>
    </w:rPr>
  </w:style>
  <w:style w:type="paragraph" w:styleId="Sprechblasentext">
    <w:name w:val="Balloon Text"/>
    <w:basedOn w:val="Standard"/>
    <w:link w:val="SprechblasentextZchn"/>
    <w:uiPriority w:val="99"/>
    <w:semiHidden/>
    <w:unhideWhenUsed/>
    <w:rsid w:val="009D15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59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3016"/>
    <w:pPr>
      <w:spacing w:after="0" w:line="240" w:lineRule="auto"/>
    </w:pPr>
    <w:rPr>
      <w:rFonts w:ascii="Cambria" w:eastAsia="Calibri" w:hAnsi="Cambria" w:cs="Times New Roman"/>
    </w:rPr>
  </w:style>
  <w:style w:type="paragraph" w:styleId="berschrift1">
    <w:name w:val="heading 1"/>
    <w:basedOn w:val="Standard"/>
    <w:next w:val="Standard"/>
    <w:link w:val="berschrift1Zchn"/>
    <w:uiPriority w:val="9"/>
    <w:qFormat/>
    <w:rsid w:val="00B61DCD"/>
    <w:pPr>
      <w:keepNext/>
      <w:keepLines/>
      <w:numPr>
        <w:numId w:val="10"/>
      </w:numPr>
      <w:spacing w:before="480" w:after="120"/>
      <w:outlineLvl w:val="0"/>
    </w:pPr>
    <w:rPr>
      <w:rFonts w:eastAsiaTheme="majorEastAsia" w:cstheme="majorBidi"/>
      <w:b/>
      <w:color w:val="0050EC"/>
      <w:szCs w:val="32"/>
    </w:rPr>
  </w:style>
  <w:style w:type="paragraph" w:styleId="berschrift2">
    <w:name w:val="heading 2"/>
    <w:basedOn w:val="Standard"/>
    <w:next w:val="Standard"/>
    <w:link w:val="berschrift2Zchn"/>
    <w:uiPriority w:val="9"/>
    <w:unhideWhenUsed/>
    <w:qFormat/>
    <w:rsid w:val="00D24441"/>
    <w:pPr>
      <w:keepNext/>
      <w:keepLines/>
      <w:spacing w:before="24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BB2581"/>
    <w:pPr>
      <w:keepNext/>
      <w:keepLines/>
      <w:numPr>
        <w:ilvl w:val="2"/>
        <w:numId w:val="10"/>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B2581"/>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BB258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B2581"/>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B2581"/>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B2581"/>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B2581"/>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93585"/>
    <w:pPr>
      <w:tabs>
        <w:tab w:val="center" w:pos="4536"/>
        <w:tab w:val="right" w:pos="9072"/>
      </w:tabs>
    </w:pPr>
  </w:style>
  <w:style w:type="character" w:customStyle="1" w:styleId="KopfzeileZchn">
    <w:name w:val="Kopfzeile Zchn"/>
    <w:basedOn w:val="Absatz-Standardschriftart"/>
    <w:link w:val="Kopfzeile"/>
    <w:rsid w:val="00993585"/>
    <w:rPr>
      <w:rFonts w:ascii="Arial" w:eastAsia="Calibri" w:hAnsi="Arial" w:cs="Times New Roman"/>
    </w:rPr>
  </w:style>
  <w:style w:type="paragraph" w:styleId="Fuzeile">
    <w:name w:val="footer"/>
    <w:basedOn w:val="Standard"/>
    <w:link w:val="FuzeileZchn"/>
    <w:uiPriority w:val="99"/>
    <w:unhideWhenUsed/>
    <w:rsid w:val="00993585"/>
    <w:pPr>
      <w:tabs>
        <w:tab w:val="center" w:pos="4536"/>
        <w:tab w:val="right" w:pos="9072"/>
      </w:tabs>
    </w:pPr>
  </w:style>
  <w:style w:type="character" w:customStyle="1" w:styleId="FuzeileZchn">
    <w:name w:val="Fußzeile Zchn"/>
    <w:basedOn w:val="Absatz-Standardschriftart"/>
    <w:link w:val="Fuzeile"/>
    <w:uiPriority w:val="99"/>
    <w:rsid w:val="00993585"/>
    <w:rPr>
      <w:rFonts w:ascii="Arial" w:eastAsia="Calibri" w:hAnsi="Arial" w:cs="Times New Roman"/>
    </w:rPr>
  </w:style>
  <w:style w:type="paragraph" w:styleId="Listenabsatz">
    <w:name w:val="List Paragraph"/>
    <w:basedOn w:val="Standard"/>
    <w:link w:val="ListenabsatzZchn"/>
    <w:uiPriority w:val="34"/>
    <w:qFormat/>
    <w:rsid w:val="00993585"/>
    <w:pPr>
      <w:spacing w:line="276" w:lineRule="auto"/>
      <w:ind w:left="720"/>
      <w:contextualSpacing/>
      <w:jc w:val="both"/>
    </w:pPr>
    <w:rPr>
      <w:rFonts w:eastAsia="Times New Roman"/>
      <w:szCs w:val="24"/>
      <w:lang w:eastAsia="de-DE"/>
    </w:rPr>
  </w:style>
  <w:style w:type="character" w:customStyle="1" w:styleId="ListenabsatzZchn">
    <w:name w:val="Listenabsatz Zchn"/>
    <w:link w:val="Listenabsatz"/>
    <w:uiPriority w:val="34"/>
    <w:locked/>
    <w:rsid w:val="00993585"/>
    <w:rPr>
      <w:rFonts w:ascii="Arial" w:eastAsia="Times New Roman" w:hAnsi="Arial" w:cs="Times New Roman"/>
      <w:szCs w:val="24"/>
      <w:lang w:eastAsia="de-DE"/>
    </w:rPr>
  </w:style>
  <w:style w:type="table" w:styleId="Tabellenraster">
    <w:name w:val="Table Grid"/>
    <w:basedOn w:val="NormaleTabelle"/>
    <w:uiPriority w:val="59"/>
    <w:rsid w:val="00993585"/>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fzhlungDownload">
    <w:name w:val="Aufzählung Download"/>
    <w:basedOn w:val="KeineListe"/>
    <w:rsid w:val="00993585"/>
    <w:pPr>
      <w:numPr>
        <w:numId w:val="5"/>
      </w:numPr>
    </w:pPr>
  </w:style>
  <w:style w:type="character" w:customStyle="1" w:styleId="berschrift1Zchn">
    <w:name w:val="Überschrift 1 Zchn"/>
    <w:basedOn w:val="Absatz-Standardschriftart"/>
    <w:link w:val="berschrift1"/>
    <w:uiPriority w:val="9"/>
    <w:rsid w:val="00B61DCD"/>
    <w:rPr>
      <w:rFonts w:ascii="Cambria" w:eastAsiaTheme="majorEastAsia" w:hAnsi="Cambria" w:cstheme="majorBidi"/>
      <w:b/>
      <w:color w:val="0050EC"/>
      <w:szCs w:val="32"/>
    </w:rPr>
  </w:style>
  <w:style w:type="character" w:customStyle="1" w:styleId="berschrift2Zchn">
    <w:name w:val="Überschrift 2 Zchn"/>
    <w:basedOn w:val="Absatz-Standardschriftart"/>
    <w:link w:val="berschrift2"/>
    <w:uiPriority w:val="9"/>
    <w:rsid w:val="00D24441"/>
    <w:rPr>
      <w:rFonts w:ascii="Cambria" w:eastAsiaTheme="majorEastAsia" w:hAnsi="Cambria" w:cstheme="majorBidi"/>
      <w:b/>
      <w:szCs w:val="26"/>
    </w:rPr>
  </w:style>
  <w:style w:type="character" w:customStyle="1" w:styleId="berschrift3Zchn">
    <w:name w:val="Überschrift 3 Zchn"/>
    <w:basedOn w:val="Absatz-Standardschriftart"/>
    <w:link w:val="berschrift3"/>
    <w:uiPriority w:val="9"/>
    <w:semiHidden/>
    <w:rsid w:val="00BB258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BB2581"/>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BB2581"/>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B258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B258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B258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B2581"/>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D24441"/>
    <w:pPr>
      <w:numPr>
        <w:numId w:val="0"/>
      </w:numPr>
      <w:spacing w:after="0" w:line="259" w:lineRule="auto"/>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B577E9"/>
    <w:pPr>
      <w:tabs>
        <w:tab w:val="left" w:pos="851"/>
      </w:tabs>
      <w:ind w:left="454"/>
    </w:pPr>
    <w:rPr>
      <w:sz w:val="20"/>
    </w:rPr>
  </w:style>
  <w:style w:type="paragraph" w:styleId="Verzeichnis2">
    <w:name w:val="toc 2"/>
    <w:basedOn w:val="Standard"/>
    <w:next w:val="Standard"/>
    <w:autoRedefine/>
    <w:uiPriority w:val="39"/>
    <w:unhideWhenUsed/>
    <w:rsid w:val="00D24441"/>
    <w:pPr>
      <w:spacing w:after="100"/>
      <w:ind w:left="220"/>
    </w:pPr>
  </w:style>
  <w:style w:type="character" w:styleId="Hyperlink">
    <w:name w:val="Hyperlink"/>
    <w:basedOn w:val="Absatz-Standardschriftart"/>
    <w:uiPriority w:val="99"/>
    <w:unhideWhenUsed/>
    <w:rsid w:val="00D24441"/>
    <w:rPr>
      <w:color w:val="0563C1" w:themeColor="hyperlink"/>
      <w:u w:val="single"/>
    </w:rPr>
  </w:style>
  <w:style w:type="paragraph" w:styleId="Titel">
    <w:name w:val="Title"/>
    <w:basedOn w:val="Standard"/>
    <w:next w:val="Standard"/>
    <w:link w:val="TitelZchn"/>
    <w:uiPriority w:val="10"/>
    <w:qFormat/>
    <w:rsid w:val="0054123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234"/>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956DAF"/>
    <w:rPr>
      <w:b/>
      <w:bCs/>
    </w:rPr>
  </w:style>
  <w:style w:type="paragraph" w:styleId="Sprechblasentext">
    <w:name w:val="Balloon Text"/>
    <w:basedOn w:val="Standard"/>
    <w:link w:val="SprechblasentextZchn"/>
    <w:uiPriority w:val="99"/>
    <w:semiHidden/>
    <w:unhideWhenUsed/>
    <w:rsid w:val="009D15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59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7884">
      <w:bodyDiv w:val="1"/>
      <w:marLeft w:val="0"/>
      <w:marRight w:val="0"/>
      <w:marTop w:val="0"/>
      <w:marBottom w:val="0"/>
      <w:divBdr>
        <w:top w:val="none" w:sz="0" w:space="0" w:color="auto"/>
        <w:left w:val="none" w:sz="0" w:space="0" w:color="auto"/>
        <w:bottom w:val="none" w:sz="0" w:space="0" w:color="auto"/>
        <w:right w:val="none" w:sz="0" w:space="0" w:color="auto"/>
      </w:divBdr>
      <w:divsChild>
        <w:div w:id="1568951169">
          <w:marLeft w:val="0"/>
          <w:marRight w:val="0"/>
          <w:marTop w:val="0"/>
          <w:marBottom w:val="0"/>
          <w:divBdr>
            <w:top w:val="none" w:sz="0" w:space="0" w:color="auto"/>
            <w:left w:val="none" w:sz="0" w:space="0" w:color="auto"/>
            <w:bottom w:val="none" w:sz="0" w:space="0" w:color="auto"/>
            <w:right w:val="none" w:sz="0" w:space="0" w:color="auto"/>
          </w:divBdr>
        </w:div>
        <w:div w:id="987780941">
          <w:marLeft w:val="0"/>
          <w:marRight w:val="0"/>
          <w:marTop w:val="0"/>
          <w:marBottom w:val="0"/>
          <w:divBdr>
            <w:top w:val="none" w:sz="0" w:space="0" w:color="auto"/>
            <w:left w:val="none" w:sz="0" w:space="0" w:color="auto"/>
            <w:bottom w:val="none" w:sz="0" w:space="0" w:color="auto"/>
            <w:right w:val="none" w:sz="0" w:space="0" w:color="auto"/>
          </w:divBdr>
        </w:div>
        <w:div w:id="1152020422">
          <w:marLeft w:val="0"/>
          <w:marRight w:val="0"/>
          <w:marTop w:val="0"/>
          <w:marBottom w:val="0"/>
          <w:divBdr>
            <w:top w:val="none" w:sz="0" w:space="0" w:color="auto"/>
            <w:left w:val="none" w:sz="0" w:space="0" w:color="auto"/>
            <w:bottom w:val="none" w:sz="0" w:space="0" w:color="auto"/>
            <w:right w:val="none" w:sz="0" w:space="0" w:color="auto"/>
          </w:divBdr>
        </w:div>
        <w:div w:id="621032066">
          <w:marLeft w:val="0"/>
          <w:marRight w:val="0"/>
          <w:marTop w:val="0"/>
          <w:marBottom w:val="0"/>
          <w:divBdr>
            <w:top w:val="none" w:sz="0" w:space="0" w:color="auto"/>
            <w:left w:val="none" w:sz="0" w:space="0" w:color="auto"/>
            <w:bottom w:val="none" w:sz="0" w:space="0" w:color="auto"/>
            <w:right w:val="none" w:sz="0" w:space="0" w:color="auto"/>
          </w:divBdr>
          <w:divsChild>
            <w:div w:id="443810026">
              <w:marLeft w:val="0"/>
              <w:marRight w:val="0"/>
              <w:marTop w:val="0"/>
              <w:marBottom w:val="0"/>
              <w:divBdr>
                <w:top w:val="none" w:sz="0" w:space="0" w:color="auto"/>
                <w:left w:val="none" w:sz="0" w:space="0" w:color="auto"/>
                <w:bottom w:val="none" w:sz="0" w:space="0" w:color="auto"/>
                <w:right w:val="none" w:sz="0" w:space="0" w:color="auto"/>
              </w:divBdr>
              <w:divsChild>
                <w:div w:id="920023446">
                  <w:marLeft w:val="0"/>
                  <w:marRight w:val="0"/>
                  <w:marTop w:val="0"/>
                  <w:marBottom w:val="0"/>
                  <w:divBdr>
                    <w:top w:val="none" w:sz="0" w:space="0" w:color="auto"/>
                    <w:left w:val="none" w:sz="0" w:space="0" w:color="auto"/>
                    <w:bottom w:val="none" w:sz="0" w:space="0" w:color="auto"/>
                    <w:right w:val="none" w:sz="0" w:space="0" w:color="auto"/>
                  </w:divBdr>
                </w:div>
                <w:div w:id="6218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0774">
      <w:bodyDiv w:val="1"/>
      <w:marLeft w:val="0"/>
      <w:marRight w:val="0"/>
      <w:marTop w:val="0"/>
      <w:marBottom w:val="0"/>
      <w:divBdr>
        <w:top w:val="none" w:sz="0" w:space="0" w:color="auto"/>
        <w:left w:val="none" w:sz="0" w:space="0" w:color="auto"/>
        <w:bottom w:val="none" w:sz="0" w:space="0" w:color="auto"/>
        <w:right w:val="none" w:sz="0" w:space="0" w:color="auto"/>
      </w:divBdr>
    </w:div>
    <w:div w:id="1293557241">
      <w:bodyDiv w:val="1"/>
      <w:marLeft w:val="0"/>
      <w:marRight w:val="0"/>
      <w:marTop w:val="0"/>
      <w:marBottom w:val="0"/>
      <w:divBdr>
        <w:top w:val="none" w:sz="0" w:space="0" w:color="auto"/>
        <w:left w:val="none" w:sz="0" w:space="0" w:color="auto"/>
        <w:bottom w:val="none" w:sz="0" w:space="0" w:color="auto"/>
        <w:right w:val="none" w:sz="0" w:space="0" w:color="auto"/>
      </w:divBdr>
    </w:div>
    <w:div w:id="1486817688">
      <w:bodyDiv w:val="1"/>
      <w:marLeft w:val="0"/>
      <w:marRight w:val="0"/>
      <w:marTop w:val="0"/>
      <w:marBottom w:val="0"/>
      <w:divBdr>
        <w:top w:val="none" w:sz="0" w:space="0" w:color="auto"/>
        <w:left w:val="none" w:sz="0" w:space="0" w:color="auto"/>
        <w:bottom w:val="none" w:sz="0" w:space="0" w:color="auto"/>
        <w:right w:val="none" w:sz="0" w:space="0" w:color="auto"/>
      </w:divBdr>
    </w:div>
    <w:div w:id="18400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81A0-3035-4706-A80E-E60D331B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4215</Words>
  <Characters>26555</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Mandanteninformationsbrief 01.07.2016 - zweispaltig</vt:lpstr>
    </vt:vector>
  </TitlesOfParts>
  <Company>Steuerseminare Graf GmbH</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Mandanteninformationsbrief 01.07.2016 - zweispaltig</dc:title>
  <dc:subject/>
  <dc:creator>Johann Graf</dc:creator>
  <cp:keywords/>
  <dc:description/>
  <cp:lastModifiedBy>Jennifer Bachmayer - Müller Steuerkanzlei</cp:lastModifiedBy>
  <cp:revision>5</cp:revision>
  <cp:lastPrinted>2016-10-31T09:34:00Z</cp:lastPrinted>
  <dcterms:created xsi:type="dcterms:W3CDTF">2016-11-02T10:44:00Z</dcterms:created>
  <dcterms:modified xsi:type="dcterms:W3CDTF">2016-11-09T14:20:00Z</dcterms:modified>
</cp:coreProperties>
</file>