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ADA52" w14:textId="77777777" w:rsidR="00993585" w:rsidRPr="009F223B" w:rsidRDefault="00993585" w:rsidP="00D522D8">
      <w:pPr>
        <w:autoSpaceDE w:val="0"/>
        <w:autoSpaceDN w:val="0"/>
        <w:adjustRightInd w:val="0"/>
        <w:spacing w:before="0" w:after="0" w:line="276" w:lineRule="auto"/>
        <w:contextualSpacing/>
        <w:rPr>
          <w:rFonts w:cs="Arial"/>
        </w:rPr>
      </w:pPr>
      <w:r>
        <w:rPr>
          <w:noProof/>
          <w:lang w:eastAsia="de-DE"/>
        </w:rPr>
        <mc:AlternateContent>
          <mc:Choice Requires="wps">
            <w:drawing>
              <wp:anchor distT="0" distB="0" distL="114300" distR="114300" simplePos="0" relativeHeight="251659264" behindDoc="0" locked="0" layoutInCell="1" allowOverlap="1" wp14:anchorId="38FCBA4C" wp14:editId="5283C076">
                <wp:simplePos x="0" y="0"/>
                <wp:positionH relativeFrom="margin">
                  <wp:align>right</wp:align>
                </wp:positionH>
                <wp:positionV relativeFrom="paragraph">
                  <wp:posOffset>-6985</wp:posOffset>
                </wp:positionV>
                <wp:extent cx="5629275" cy="857250"/>
                <wp:effectExtent l="0" t="0" r="28575" b="1905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857250"/>
                        </a:xfrm>
                        <a:prstGeom prst="rect">
                          <a:avLst/>
                        </a:prstGeom>
                        <a:solidFill>
                          <a:srgbClr val="FFFFFF"/>
                        </a:solidFill>
                        <a:ln w="9525">
                          <a:solidFill>
                            <a:srgbClr val="FFFFFF"/>
                          </a:solidFill>
                          <a:miter lim="800000"/>
                          <a:headEnd/>
                          <a:tailEnd/>
                        </a:ln>
                      </wps:spPr>
                      <wps:txbx>
                        <w:txbxContent>
                          <w:p w14:paraId="0C7446B0" w14:textId="77777777" w:rsidR="0015065A" w:rsidRPr="008C05C3" w:rsidRDefault="0015065A" w:rsidP="00D522D8">
                            <w:pPr>
                              <w:spacing w:before="0" w:after="0"/>
                              <w:contextualSpacing/>
                              <w:rPr>
                                <w:rFonts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2.05pt;margin-top:-.55pt;width:443.25pt;height: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" strokecolor="white">
                <v:textbox>
                  <w:txbxContent>
                    <w:p w14:paraId="0C7446B0" w14:textId="77777777" w:rsidR="0015065A" w:rsidRPr="008C05C3" w:rsidRDefault="0015065A" w:rsidP="00D522D8">
                      <w:pPr>
                        <w:spacing w:before="0" w:after="0"/>
                        <w:contextualSpacing/>
                        <w:rPr>
                          <w:rFonts w:cs="Arial"/>
                          <w:sz w:val="28"/>
                          <w:szCs w:val="28"/>
                        </w:rPr>
                      </w:pPr>
                    </w:p>
                  </w:txbxContent>
                </v:textbox>
                <w10:wrap anchorx="margin"/>
              </v:shape>
            </w:pict>
          </mc:Fallback>
        </mc:AlternateContent>
      </w:r>
    </w:p>
    <w:p w14:paraId="73C6546D" w14:textId="77777777" w:rsidR="00993585" w:rsidRPr="009F223B" w:rsidRDefault="00993585" w:rsidP="00D522D8">
      <w:pPr>
        <w:autoSpaceDE w:val="0"/>
        <w:autoSpaceDN w:val="0"/>
        <w:adjustRightInd w:val="0"/>
        <w:spacing w:before="0" w:after="0" w:line="276" w:lineRule="auto"/>
        <w:contextualSpacing/>
        <w:rPr>
          <w:rFonts w:cs="Arial"/>
        </w:rPr>
      </w:pPr>
    </w:p>
    <w:p w14:paraId="1AA1D53B" w14:textId="77777777" w:rsidR="00993585" w:rsidRPr="009F223B" w:rsidRDefault="00993585" w:rsidP="00D522D8">
      <w:pPr>
        <w:autoSpaceDE w:val="0"/>
        <w:autoSpaceDN w:val="0"/>
        <w:adjustRightInd w:val="0"/>
        <w:spacing w:before="0" w:after="0" w:line="276" w:lineRule="auto"/>
        <w:contextualSpacing/>
        <w:rPr>
          <w:rFonts w:cs="Arial"/>
        </w:rPr>
      </w:pPr>
    </w:p>
    <w:p w14:paraId="4D7E072F" w14:textId="77777777" w:rsidR="00993585" w:rsidRPr="009F223B" w:rsidRDefault="00993585" w:rsidP="00D522D8">
      <w:pPr>
        <w:autoSpaceDE w:val="0"/>
        <w:autoSpaceDN w:val="0"/>
        <w:adjustRightInd w:val="0"/>
        <w:spacing w:before="0" w:after="0" w:line="276" w:lineRule="auto"/>
        <w:contextualSpacing/>
        <w:rPr>
          <w:rFonts w:cs="Arial"/>
        </w:rPr>
      </w:pPr>
    </w:p>
    <w:p w14:paraId="76E66C3D" w14:textId="77777777" w:rsidR="00993585" w:rsidRPr="004678EF" w:rsidRDefault="00993585" w:rsidP="00D522D8">
      <w:pPr>
        <w:spacing w:before="0" w:after="0" w:line="276" w:lineRule="auto"/>
        <w:contextualSpacing/>
      </w:pPr>
    </w:p>
    <w:p w14:paraId="00D35C05" w14:textId="77777777" w:rsidR="00993585" w:rsidRPr="004678EF" w:rsidRDefault="00993585" w:rsidP="00D522D8">
      <w:pPr>
        <w:spacing w:before="0" w:after="0" w:line="276" w:lineRule="auto"/>
        <w:contextualSpacing/>
      </w:pPr>
    </w:p>
    <w:p w14:paraId="477DE908" w14:textId="77777777" w:rsidR="00993585" w:rsidRDefault="00993585" w:rsidP="00D522D8">
      <w:pPr>
        <w:spacing w:before="0" w:after="0" w:line="276" w:lineRule="auto"/>
        <w:contextualSpacing/>
      </w:pPr>
    </w:p>
    <w:p w14:paraId="4461C11B" w14:textId="77777777" w:rsidR="00993585" w:rsidRDefault="00993585" w:rsidP="00D522D8">
      <w:pPr>
        <w:spacing w:before="0" w:after="0" w:line="276" w:lineRule="auto"/>
        <w:contextualSpacing/>
      </w:pPr>
    </w:p>
    <w:p w14:paraId="753A0F02" w14:textId="77777777" w:rsidR="00993585" w:rsidRPr="004678EF" w:rsidRDefault="00993585" w:rsidP="00D522D8">
      <w:pPr>
        <w:spacing w:before="0" w:after="0" w:line="276" w:lineRule="auto"/>
        <w:contextualSpacing/>
      </w:pPr>
    </w:p>
    <w:p w14:paraId="4F5EB6A3" w14:textId="77777777" w:rsidR="00993585" w:rsidRPr="004678EF" w:rsidRDefault="00993585" w:rsidP="00D522D8">
      <w:pPr>
        <w:spacing w:before="0" w:after="0" w:line="276" w:lineRule="auto"/>
        <w:contextualSpacing/>
      </w:pPr>
    </w:p>
    <w:p w14:paraId="7F916F3E" w14:textId="77777777" w:rsidR="00993585" w:rsidRPr="009F223B" w:rsidRDefault="00993585" w:rsidP="00DC55EE">
      <w:pPr>
        <w:spacing w:before="0" w:after="0"/>
        <w:contextualSpacing/>
        <w:jc w:val="center"/>
        <w:rPr>
          <w:rFonts w:eastAsia="Times New Roman" w:cs="Arial"/>
          <w:b/>
          <w:bCs/>
          <w:color w:val="0050EC"/>
          <w:sz w:val="52"/>
          <w:szCs w:val="24"/>
          <w:lang w:eastAsia="de-DE"/>
        </w:rPr>
      </w:pPr>
      <w:r w:rsidRPr="009F223B">
        <w:rPr>
          <w:rFonts w:eastAsia="Times New Roman" w:cs="Arial"/>
          <w:b/>
          <w:bCs/>
          <w:color w:val="0050EC"/>
          <w:sz w:val="52"/>
          <w:szCs w:val="24"/>
          <w:lang w:eastAsia="de-DE"/>
        </w:rPr>
        <w:t>Mandanten-</w:t>
      </w:r>
    </w:p>
    <w:p w14:paraId="09658A2C" w14:textId="77777777" w:rsidR="00993585" w:rsidRPr="009F223B" w:rsidRDefault="00993585" w:rsidP="00DC55EE">
      <w:pPr>
        <w:spacing w:before="0" w:after="0"/>
        <w:contextualSpacing/>
        <w:jc w:val="center"/>
        <w:rPr>
          <w:rFonts w:eastAsia="Times New Roman" w:cs="Arial"/>
          <w:b/>
          <w:bCs/>
          <w:color w:val="0050EC"/>
          <w:sz w:val="52"/>
          <w:szCs w:val="24"/>
          <w:lang w:eastAsia="de-DE"/>
        </w:rPr>
      </w:pPr>
      <w:r w:rsidRPr="009F223B">
        <w:rPr>
          <w:rFonts w:eastAsia="Times New Roman" w:cs="Arial"/>
          <w:b/>
          <w:bCs/>
          <w:color w:val="0050EC"/>
          <w:sz w:val="52"/>
          <w:szCs w:val="24"/>
          <w:lang w:eastAsia="de-DE"/>
        </w:rPr>
        <w:t>Informationsbrief</w:t>
      </w:r>
    </w:p>
    <w:p w14:paraId="17727C26" w14:textId="77777777" w:rsidR="00993585" w:rsidRPr="009F223B" w:rsidRDefault="00993585" w:rsidP="00DC55EE">
      <w:pPr>
        <w:autoSpaceDE w:val="0"/>
        <w:autoSpaceDN w:val="0"/>
        <w:adjustRightInd w:val="0"/>
        <w:spacing w:before="0" w:after="0" w:line="276" w:lineRule="auto"/>
        <w:contextualSpacing/>
        <w:jc w:val="center"/>
        <w:rPr>
          <w:rFonts w:cs="Arial"/>
          <w:b/>
          <w:bCs/>
          <w:color w:val="0050EC"/>
          <w:sz w:val="48"/>
        </w:rPr>
      </w:pPr>
      <w:r w:rsidRPr="009F223B">
        <w:rPr>
          <w:rFonts w:cs="Arial"/>
          <w:b/>
          <w:bCs/>
          <w:color w:val="0050EC"/>
          <w:sz w:val="48"/>
        </w:rPr>
        <w:t>zum</w:t>
      </w:r>
    </w:p>
    <w:p w14:paraId="1E118032" w14:textId="1B5AFE73" w:rsidR="00131979" w:rsidRPr="00AF2921" w:rsidRDefault="00472ED4" w:rsidP="00AF2921">
      <w:pPr>
        <w:autoSpaceDE w:val="0"/>
        <w:autoSpaceDN w:val="0"/>
        <w:adjustRightInd w:val="0"/>
        <w:spacing w:before="0" w:after="0"/>
        <w:jc w:val="center"/>
        <w:rPr>
          <w:rFonts w:cs="Arial"/>
          <w:b/>
          <w:bCs/>
          <w:color w:val="0050EC"/>
          <w:sz w:val="48"/>
        </w:rPr>
      </w:pPr>
      <w:r>
        <w:rPr>
          <w:rFonts w:cs="Arial"/>
          <w:b/>
          <w:bCs/>
          <w:color w:val="0050EC"/>
          <w:sz w:val="48"/>
        </w:rPr>
        <w:t>01</w:t>
      </w:r>
      <w:r w:rsidR="00AF2921" w:rsidRPr="00AF2921">
        <w:rPr>
          <w:rFonts w:cs="Arial"/>
          <w:b/>
          <w:bCs/>
          <w:color w:val="0050EC"/>
          <w:sz w:val="48"/>
        </w:rPr>
        <w:t xml:space="preserve">. </w:t>
      </w:r>
      <w:r>
        <w:rPr>
          <w:rFonts w:cs="Arial"/>
          <w:b/>
          <w:bCs/>
          <w:color w:val="0050EC"/>
          <w:sz w:val="48"/>
        </w:rPr>
        <w:t>Juli</w:t>
      </w:r>
      <w:r w:rsidR="007C3A4C" w:rsidRPr="00AF2921">
        <w:rPr>
          <w:rFonts w:cs="Arial"/>
          <w:b/>
          <w:bCs/>
          <w:color w:val="0050EC"/>
          <w:sz w:val="48"/>
        </w:rPr>
        <w:t xml:space="preserve"> 2018</w:t>
      </w:r>
    </w:p>
    <w:p w14:paraId="206FAF18" w14:textId="77777777" w:rsidR="00993585" w:rsidRPr="009F223B" w:rsidRDefault="00993585" w:rsidP="00D522D8">
      <w:pPr>
        <w:spacing w:before="0" w:after="0" w:line="276" w:lineRule="auto"/>
        <w:contextualSpacing/>
      </w:pPr>
    </w:p>
    <w:p w14:paraId="3BCF6C37" w14:textId="77777777" w:rsidR="00993585" w:rsidRPr="009F223B" w:rsidRDefault="00993585" w:rsidP="00D522D8">
      <w:pPr>
        <w:spacing w:before="0" w:after="0" w:line="276" w:lineRule="auto"/>
        <w:contextualSpacing/>
      </w:pPr>
    </w:p>
    <w:p w14:paraId="1F773BD8" w14:textId="77777777" w:rsidR="00993585" w:rsidRPr="009F223B" w:rsidRDefault="00993585" w:rsidP="00D522D8">
      <w:pPr>
        <w:spacing w:before="0" w:after="0" w:line="276" w:lineRule="auto"/>
        <w:contextualSpacing/>
        <w:rPr>
          <w:rFonts w:cs="Arial"/>
        </w:rPr>
      </w:pPr>
      <w:r w:rsidRPr="009F223B">
        <w:rPr>
          <w:rFonts w:cs="Arial"/>
        </w:rPr>
        <w:t>Inhalt</w:t>
      </w:r>
    </w:p>
    <w:p w14:paraId="3C3F9A59" w14:textId="77777777" w:rsidR="00993585" w:rsidRPr="009F223B" w:rsidRDefault="00993585" w:rsidP="00D522D8">
      <w:pPr>
        <w:spacing w:before="0" w:after="0" w:line="276" w:lineRule="auto"/>
        <w:contextualSpacing/>
        <w:sectPr w:rsidR="00993585" w:rsidRPr="009F223B" w:rsidSect="0036187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pPr>
    </w:p>
    <w:p w14:paraId="3220E04B" w14:textId="77777777" w:rsidR="00CD41EC" w:rsidRDefault="006333DC">
      <w:pPr>
        <w:pStyle w:val="Verzeichnis1"/>
        <w:rPr>
          <w:rFonts w:asciiTheme="minorHAnsi" w:eastAsiaTheme="minorEastAsia" w:hAnsiTheme="minorHAnsi" w:cstheme="minorBidi"/>
          <w:noProof/>
          <w:sz w:val="22"/>
          <w:lang w:eastAsia="de-DE"/>
        </w:rPr>
      </w:pPr>
      <w:r>
        <w:rPr>
          <w:rFonts w:cs="Arial"/>
          <w:color w:val="FF0000"/>
          <w:szCs w:val="20"/>
        </w:rPr>
        <w:lastRenderedPageBreak/>
        <w:fldChar w:fldCharType="begin"/>
      </w:r>
      <w:r>
        <w:rPr>
          <w:rFonts w:cs="Arial"/>
          <w:color w:val="FF0000"/>
          <w:szCs w:val="20"/>
        </w:rPr>
        <w:instrText xml:space="preserve"> TOC \o "1-1" \n \h \z \u </w:instrText>
      </w:r>
      <w:r>
        <w:rPr>
          <w:rFonts w:cs="Arial"/>
          <w:color w:val="FF0000"/>
          <w:szCs w:val="20"/>
        </w:rPr>
        <w:fldChar w:fldCharType="separate"/>
      </w:r>
      <w:hyperlink w:anchor="_Toc518039863" w:history="1">
        <w:r w:rsidR="00CD41EC" w:rsidRPr="00FC1348">
          <w:rPr>
            <w:rStyle w:val="Hyperlink"/>
            <w:noProof/>
          </w:rPr>
          <w:t>1</w:t>
        </w:r>
        <w:r w:rsidR="00CD41EC">
          <w:rPr>
            <w:rFonts w:asciiTheme="minorHAnsi" w:eastAsiaTheme="minorEastAsia" w:hAnsiTheme="minorHAnsi" w:cstheme="minorBidi"/>
            <w:noProof/>
            <w:sz w:val="22"/>
            <w:lang w:eastAsia="de-DE"/>
          </w:rPr>
          <w:tab/>
        </w:r>
        <w:r w:rsidR="00CD41EC" w:rsidRPr="00FC1348">
          <w:rPr>
            <w:rStyle w:val="Hyperlink"/>
            <w:noProof/>
          </w:rPr>
          <w:t>Überlassung Dauerkarten an Geschäftspartner und Arbeitnehmer</w:t>
        </w:r>
      </w:hyperlink>
    </w:p>
    <w:p w14:paraId="324965A1" w14:textId="77777777" w:rsidR="00CD41EC" w:rsidRDefault="00706414">
      <w:pPr>
        <w:pStyle w:val="Verzeichnis1"/>
        <w:rPr>
          <w:rFonts w:asciiTheme="minorHAnsi" w:eastAsiaTheme="minorEastAsia" w:hAnsiTheme="minorHAnsi" w:cstheme="minorBidi"/>
          <w:noProof/>
          <w:sz w:val="22"/>
          <w:lang w:eastAsia="de-DE"/>
        </w:rPr>
      </w:pPr>
      <w:hyperlink w:anchor="_Toc518039864" w:history="1">
        <w:r w:rsidR="00CD41EC" w:rsidRPr="00FC1348">
          <w:rPr>
            <w:rStyle w:val="Hyperlink"/>
            <w:noProof/>
          </w:rPr>
          <w:t>2</w:t>
        </w:r>
        <w:r w:rsidR="00CD41EC">
          <w:rPr>
            <w:rFonts w:asciiTheme="minorHAnsi" w:eastAsiaTheme="minorEastAsia" w:hAnsiTheme="minorHAnsi" w:cstheme="minorBidi"/>
            <w:noProof/>
            <w:sz w:val="22"/>
            <w:lang w:eastAsia="de-DE"/>
          </w:rPr>
          <w:tab/>
        </w:r>
        <w:r w:rsidR="00CD41EC" w:rsidRPr="00FC1348">
          <w:rPr>
            <w:rStyle w:val="Hyperlink"/>
            <w:noProof/>
          </w:rPr>
          <w:t>Der Verkauf von (privaten) Stadionkarten</w:t>
        </w:r>
      </w:hyperlink>
    </w:p>
    <w:p w14:paraId="44CC96CC" w14:textId="77777777" w:rsidR="00CD41EC" w:rsidRDefault="00706414">
      <w:pPr>
        <w:pStyle w:val="Verzeichnis1"/>
        <w:rPr>
          <w:rFonts w:asciiTheme="minorHAnsi" w:eastAsiaTheme="minorEastAsia" w:hAnsiTheme="minorHAnsi" w:cstheme="minorBidi"/>
          <w:noProof/>
          <w:sz w:val="22"/>
          <w:lang w:eastAsia="de-DE"/>
        </w:rPr>
      </w:pPr>
      <w:hyperlink w:anchor="_Toc518039865" w:history="1">
        <w:r w:rsidR="00CD41EC" w:rsidRPr="00FC1348">
          <w:rPr>
            <w:rStyle w:val="Hyperlink"/>
            <w:noProof/>
          </w:rPr>
          <w:t>3</w:t>
        </w:r>
        <w:r w:rsidR="00CD41EC">
          <w:rPr>
            <w:rFonts w:asciiTheme="minorHAnsi" w:eastAsiaTheme="minorEastAsia" w:hAnsiTheme="minorHAnsi" w:cstheme="minorBidi"/>
            <w:noProof/>
            <w:sz w:val="22"/>
            <w:lang w:eastAsia="de-DE"/>
          </w:rPr>
          <w:tab/>
        </w:r>
        <w:r w:rsidR="00CD41EC" w:rsidRPr="00FC1348">
          <w:rPr>
            <w:rStyle w:val="Hyperlink"/>
            <w:noProof/>
          </w:rPr>
          <w:t>Verfassungswidrigkeit der Höhe von Nachzahlungszinsen</w:t>
        </w:r>
      </w:hyperlink>
    </w:p>
    <w:p w14:paraId="77C1EA9F" w14:textId="77777777" w:rsidR="00CD41EC" w:rsidRDefault="00706414">
      <w:pPr>
        <w:pStyle w:val="Verzeichnis1"/>
        <w:rPr>
          <w:rFonts w:asciiTheme="minorHAnsi" w:eastAsiaTheme="minorEastAsia" w:hAnsiTheme="minorHAnsi" w:cstheme="minorBidi"/>
          <w:noProof/>
          <w:sz w:val="22"/>
          <w:lang w:eastAsia="de-DE"/>
        </w:rPr>
      </w:pPr>
      <w:hyperlink w:anchor="_Toc518039866" w:history="1">
        <w:r w:rsidR="00CD41EC" w:rsidRPr="00FC1348">
          <w:rPr>
            <w:rStyle w:val="Hyperlink"/>
            <w:noProof/>
          </w:rPr>
          <w:t>4</w:t>
        </w:r>
        <w:r w:rsidR="00CD41EC">
          <w:rPr>
            <w:rFonts w:asciiTheme="minorHAnsi" w:eastAsiaTheme="minorEastAsia" w:hAnsiTheme="minorHAnsi" w:cstheme="minorBidi"/>
            <w:noProof/>
            <w:sz w:val="22"/>
            <w:lang w:eastAsia="de-DE"/>
          </w:rPr>
          <w:tab/>
        </w:r>
        <w:r w:rsidR="00CD41EC" w:rsidRPr="00FC1348">
          <w:rPr>
            <w:rStyle w:val="Hyperlink"/>
            <w:noProof/>
          </w:rPr>
          <w:t>Familienentlastungsgesetz</w:t>
        </w:r>
      </w:hyperlink>
    </w:p>
    <w:p w14:paraId="6552BFC9" w14:textId="77777777" w:rsidR="00CD41EC" w:rsidRDefault="00706414">
      <w:pPr>
        <w:pStyle w:val="Verzeichnis1"/>
        <w:rPr>
          <w:rFonts w:asciiTheme="minorHAnsi" w:eastAsiaTheme="minorEastAsia" w:hAnsiTheme="minorHAnsi" w:cstheme="minorBidi"/>
          <w:noProof/>
          <w:sz w:val="22"/>
          <w:lang w:eastAsia="de-DE"/>
        </w:rPr>
      </w:pPr>
      <w:hyperlink w:anchor="_Toc518039867" w:history="1">
        <w:r w:rsidR="00CD41EC" w:rsidRPr="00FC1348">
          <w:rPr>
            <w:rStyle w:val="Hyperlink"/>
            <w:noProof/>
          </w:rPr>
          <w:t>5</w:t>
        </w:r>
        <w:r w:rsidR="00CD41EC">
          <w:rPr>
            <w:rFonts w:asciiTheme="minorHAnsi" w:eastAsiaTheme="minorEastAsia" w:hAnsiTheme="minorHAnsi" w:cstheme="minorBidi"/>
            <w:noProof/>
            <w:sz w:val="22"/>
            <w:lang w:eastAsia="de-DE"/>
          </w:rPr>
          <w:tab/>
        </w:r>
        <w:r w:rsidR="00CD41EC" w:rsidRPr="00FC1348">
          <w:rPr>
            <w:rStyle w:val="Hyperlink"/>
            <w:noProof/>
          </w:rPr>
          <w:t>Keine begünstigte Handwerker-leistung bei Baukostenzuschuss für öffentliche Mischwasserleitung</w:t>
        </w:r>
      </w:hyperlink>
    </w:p>
    <w:p w14:paraId="32945CC2" w14:textId="77777777" w:rsidR="00CD41EC" w:rsidRDefault="00706414">
      <w:pPr>
        <w:pStyle w:val="Verzeichnis1"/>
        <w:rPr>
          <w:rFonts w:asciiTheme="minorHAnsi" w:eastAsiaTheme="minorEastAsia" w:hAnsiTheme="minorHAnsi" w:cstheme="minorBidi"/>
          <w:noProof/>
          <w:sz w:val="22"/>
          <w:lang w:eastAsia="de-DE"/>
        </w:rPr>
      </w:pPr>
      <w:hyperlink w:anchor="_Toc518039868" w:history="1">
        <w:r w:rsidR="00CD41EC" w:rsidRPr="00FC1348">
          <w:rPr>
            <w:rStyle w:val="Hyperlink"/>
            <w:noProof/>
          </w:rPr>
          <w:t>6</w:t>
        </w:r>
        <w:r w:rsidR="00CD41EC">
          <w:rPr>
            <w:rFonts w:asciiTheme="minorHAnsi" w:eastAsiaTheme="minorEastAsia" w:hAnsiTheme="minorHAnsi" w:cstheme="minorBidi"/>
            <w:noProof/>
            <w:sz w:val="22"/>
            <w:lang w:eastAsia="de-DE"/>
          </w:rPr>
          <w:tab/>
        </w:r>
        <w:r w:rsidR="00CD41EC" w:rsidRPr="00FC1348">
          <w:rPr>
            <w:rStyle w:val="Hyperlink"/>
            <w:noProof/>
          </w:rPr>
          <w:t>Einkünfteerzielungsabsicht einer Feng Shui-Beraterin</w:t>
        </w:r>
      </w:hyperlink>
    </w:p>
    <w:p w14:paraId="00B7570C" w14:textId="77777777" w:rsidR="00CD41EC" w:rsidRDefault="00706414">
      <w:pPr>
        <w:pStyle w:val="Verzeichnis1"/>
        <w:rPr>
          <w:rFonts w:asciiTheme="minorHAnsi" w:eastAsiaTheme="minorEastAsia" w:hAnsiTheme="minorHAnsi" w:cstheme="minorBidi"/>
          <w:noProof/>
          <w:sz w:val="22"/>
          <w:lang w:eastAsia="de-DE"/>
        </w:rPr>
      </w:pPr>
      <w:hyperlink w:anchor="_Toc518039869" w:history="1">
        <w:r w:rsidR="00CD41EC" w:rsidRPr="00FC1348">
          <w:rPr>
            <w:rStyle w:val="Hyperlink"/>
            <w:noProof/>
          </w:rPr>
          <w:t>7</w:t>
        </w:r>
        <w:r w:rsidR="00CD41EC">
          <w:rPr>
            <w:rFonts w:asciiTheme="minorHAnsi" w:eastAsiaTheme="minorEastAsia" w:hAnsiTheme="minorHAnsi" w:cstheme="minorBidi"/>
            <w:noProof/>
            <w:sz w:val="22"/>
            <w:lang w:eastAsia="de-DE"/>
          </w:rPr>
          <w:tab/>
        </w:r>
        <w:r w:rsidR="00CD41EC" w:rsidRPr="00FC1348">
          <w:rPr>
            <w:rStyle w:val="Hyperlink"/>
            <w:noProof/>
          </w:rPr>
          <w:t>Nebenberufliche Tätigkeiten – Was ist zu beachten?</w:t>
        </w:r>
      </w:hyperlink>
    </w:p>
    <w:p w14:paraId="14930F4D" w14:textId="77777777" w:rsidR="00CD41EC" w:rsidRDefault="00706414">
      <w:pPr>
        <w:pStyle w:val="Verzeichnis1"/>
        <w:rPr>
          <w:rFonts w:asciiTheme="minorHAnsi" w:eastAsiaTheme="minorEastAsia" w:hAnsiTheme="minorHAnsi" w:cstheme="minorBidi"/>
          <w:noProof/>
          <w:sz w:val="22"/>
          <w:lang w:eastAsia="de-DE"/>
        </w:rPr>
      </w:pPr>
      <w:hyperlink w:anchor="_Toc518039870" w:history="1">
        <w:r w:rsidR="00CD41EC" w:rsidRPr="00FC1348">
          <w:rPr>
            <w:rStyle w:val="Hyperlink"/>
            <w:noProof/>
          </w:rPr>
          <w:t>8</w:t>
        </w:r>
        <w:r w:rsidR="00CD41EC">
          <w:rPr>
            <w:rFonts w:asciiTheme="minorHAnsi" w:eastAsiaTheme="minorEastAsia" w:hAnsiTheme="minorHAnsi" w:cstheme="minorBidi"/>
            <w:noProof/>
            <w:sz w:val="22"/>
            <w:lang w:eastAsia="de-DE"/>
          </w:rPr>
          <w:tab/>
        </w:r>
        <w:r w:rsidR="00CD41EC" w:rsidRPr="00FC1348">
          <w:rPr>
            <w:rStyle w:val="Hyperlink"/>
            <w:noProof/>
          </w:rPr>
          <w:t>Weitere Informationen</w:t>
        </w:r>
      </w:hyperlink>
    </w:p>
    <w:p w14:paraId="6B4B246E" w14:textId="1D3CFCAA" w:rsidR="00D24441" w:rsidRDefault="006333DC" w:rsidP="006333DC">
      <w:pPr>
        <w:spacing w:before="0" w:after="0"/>
        <w:contextualSpacing/>
      </w:pPr>
      <w:r>
        <w:fldChar w:fldCharType="end"/>
      </w:r>
    </w:p>
    <w:p w14:paraId="3CC18633" w14:textId="77777777" w:rsidR="00993585" w:rsidRPr="00B2463C" w:rsidRDefault="00993585" w:rsidP="00D522D8">
      <w:pPr>
        <w:spacing w:before="0" w:after="0" w:line="276" w:lineRule="auto"/>
        <w:contextualSpacing/>
        <w:rPr>
          <w:rFonts w:cs="Arial"/>
          <w:sz w:val="20"/>
          <w:szCs w:val="20"/>
        </w:rPr>
      </w:pPr>
    </w:p>
    <w:p w14:paraId="67461E47" w14:textId="77777777" w:rsidR="00993585" w:rsidRPr="009F223B" w:rsidRDefault="00993585" w:rsidP="00D522D8">
      <w:pPr>
        <w:spacing w:before="0" w:after="0" w:line="259" w:lineRule="auto"/>
        <w:contextualSpacing/>
        <w:sectPr w:rsidR="00993585" w:rsidRPr="009F223B" w:rsidSect="00361873">
          <w:headerReference w:type="first" r:id="rId16"/>
          <w:footerReference w:type="first" r:id="rId17"/>
          <w:type w:val="continuous"/>
          <w:pgSz w:w="11906" w:h="16838"/>
          <w:pgMar w:top="1417" w:right="1417" w:bottom="1134" w:left="1417" w:header="708" w:footer="708" w:gutter="0"/>
          <w:cols w:space="708"/>
          <w:docGrid w:linePitch="360"/>
        </w:sectPr>
      </w:pPr>
    </w:p>
    <w:p w14:paraId="550EFD2A" w14:textId="77777777" w:rsidR="006333DC" w:rsidRDefault="006333DC" w:rsidP="00D522D8">
      <w:pPr>
        <w:spacing w:before="0" w:after="0" w:line="276" w:lineRule="auto"/>
        <w:contextualSpacing/>
        <w:rPr>
          <w:rFonts w:cs="Arial"/>
          <w:b/>
          <w:color w:val="0050EC"/>
        </w:rPr>
      </w:pPr>
    </w:p>
    <w:p w14:paraId="3B132028" w14:textId="77777777" w:rsidR="006333DC" w:rsidRDefault="006333DC" w:rsidP="00D522D8">
      <w:pPr>
        <w:spacing w:before="0" w:after="0" w:line="276" w:lineRule="auto"/>
        <w:contextualSpacing/>
        <w:rPr>
          <w:rFonts w:cs="Arial"/>
          <w:b/>
          <w:color w:val="0050EC"/>
        </w:rPr>
      </w:pPr>
    </w:p>
    <w:p w14:paraId="591A3011" w14:textId="77777777" w:rsidR="00993585" w:rsidRDefault="00993585" w:rsidP="00D522D8">
      <w:pPr>
        <w:spacing w:before="0" w:after="0" w:line="276" w:lineRule="auto"/>
        <w:contextualSpacing/>
        <w:rPr>
          <w:rFonts w:cs="Arial"/>
          <w:b/>
          <w:color w:val="0050EC"/>
        </w:rPr>
      </w:pPr>
      <w:r w:rsidRPr="009F223B">
        <w:rPr>
          <w:rFonts w:cs="Arial"/>
          <w:b/>
          <w:color w:val="0050EC"/>
        </w:rPr>
        <w:t>Allgemeines</w:t>
      </w:r>
    </w:p>
    <w:p w14:paraId="5DE34C5A" w14:textId="77777777" w:rsidR="00543BA5" w:rsidRDefault="00543BA5" w:rsidP="00D522D8">
      <w:pPr>
        <w:spacing w:before="0" w:after="0"/>
        <w:contextualSpacing/>
        <w:rPr>
          <w:rFonts w:cs="Arial"/>
        </w:rPr>
      </w:pPr>
      <w:r w:rsidRPr="00152513">
        <w:rPr>
          <w:rFonts w:cs="Arial"/>
        </w:rPr>
        <w:t>Mit dem vorliegenden Mandanten-Informationsbrief möchten wir Sie wieder über verschiedene interessante und aktuelle Themen informieren</w:t>
      </w:r>
      <w:r>
        <w:rPr>
          <w:rFonts w:cs="Arial"/>
        </w:rPr>
        <w:t xml:space="preserve"> – e</w:t>
      </w:r>
      <w:r w:rsidRPr="00152513">
        <w:rPr>
          <w:rFonts w:cs="Arial"/>
        </w:rPr>
        <w:t>in bunter Strauß aus Praxisfragen, Rechtsprechung und Gesetzgebung.</w:t>
      </w:r>
    </w:p>
    <w:p w14:paraId="11B034AA" w14:textId="77777777" w:rsidR="00543BA5" w:rsidRPr="00152513" w:rsidRDefault="00543BA5" w:rsidP="00D522D8">
      <w:pPr>
        <w:spacing w:before="0" w:after="0"/>
        <w:contextualSpacing/>
        <w:rPr>
          <w:rFonts w:cs="Arial"/>
        </w:rPr>
      </w:pPr>
    </w:p>
    <w:p w14:paraId="17DFD593" w14:textId="0E415A2F" w:rsidR="00993585" w:rsidRPr="009F223B" w:rsidRDefault="00993585" w:rsidP="006C36DD">
      <w:pPr>
        <w:spacing w:before="0" w:after="0"/>
        <w:contextualSpacing/>
      </w:pPr>
      <w:r w:rsidRPr="00152513">
        <w:rPr>
          <w:rFonts w:cs="Arial"/>
        </w:rPr>
        <w:t>Der nächste Mandan</w:t>
      </w:r>
      <w:r w:rsidR="00725CA6">
        <w:rPr>
          <w:rFonts w:cs="Arial"/>
        </w:rPr>
        <w:t xml:space="preserve">ten-Informationsbrief wird am </w:t>
      </w:r>
      <w:r w:rsidR="00DC55EE">
        <w:rPr>
          <w:rFonts w:cs="Arial"/>
          <w:b/>
        </w:rPr>
        <w:t xml:space="preserve">01. </w:t>
      </w:r>
      <w:r w:rsidR="00472ED4">
        <w:rPr>
          <w:rFonts w:cs="Arial"/>
          <w:b/>
        </w:rPr>
        <w:t>September</w:t>
      </w:r>
      <w:r w:rsidRPr="00E107B4">
        <w:rPr>
          <w:rFonts w:cs="Arial"/>
          <w:b/>
        </w:rPr>
        <w:t xml:space="preserve"> 201</w:t>
      </w:r>
      <w:r w:rsidR="00DC55EE">
        <w:rPr>
          <w:rFonts w:cs="Arial"/>
          <w:b/>
        </w:rPr>
        <w:t>8</w:t>
      </w:r>
      <w:r w:rsidRPr="00152513">
        <w:rPr>
          <w:rFonts w:cs="Arial"/>
        </w:rPr>
        <w:t xml:space="preserve"> erscheinen.</w:t>
      </w:r>
      <w:r w:rsidRPr="009F223B">
        <w:br w:type="page"/>
      </w:r>
    </w:p>
    <w:p w14:paraId="0111398E" w14:textId="77777777" w:rsidR="00993585" w:rsidRDefault="00993585" w:rsidP="00AC6080">
      <w:pPr>
        <w:numPr>
          <w:ilvl w:val="0"/>
          <w:numId w:val="1"/>
        </w:numPr>
        <w:spacing w:line="276" w:lineRule="auto"/>
        <w:ind w:left="426" w:hanging="426"/>
        <w:rPr>
          <w:rFonts w:cs="Arial"/>
          <w:b/>
          <w:color w:val="0050EC"/>
        </w:rPr>
        <w:sectPr w:rsidR="00993585" w:rsidSect="00361873">
          <w:headerReference w:type="first" r:id="rId18"/>
          <w:footerReference w:type="first" r:id="rId19"/>
          <w:type w:val="continuous"/>
          <w:pgSz w:w="11906" w:h="16838"/>
          <w:pgMar w:top="1417" w:right="1417" w:bottom="1134" w:left="1417" w:header="708" w:footer="708" w:gutter="0"/>
          <w:cols w:space="708"/>
          <w:docGrid w:linePitch="360"/>
        </w:sectPr>
      </w:pPr>
    </w:p>
    <w:p w14:paraId="73850C82" w14:textId="55A32B35" w:rsidR="00D42C1E" w:rsidRDefault="00C16879" w:rsidP="00853A63">
      <w:pPr>
        <w:pStyle w:val="berschrift1"/>
      </w:pPr>
      <w:bookmarkStart w:id="1" w:name="_Toc518039863"/>
      <w:bookmarkStart w:id="2" w:name="_Toc469057151"/>
      <w:r>
        <w:lastRenderedPageBreak/>
        <w:t>Überlassung Dauerkarten an Geschäftspartner</w:t>
      </w:r>
      <w:r w:rsidR="00853A63">
        <w:t xml:space="preserve"> und Arbeitnehmer</w:t>
      </w:r>
      <w:bookmarkEnd w:id="1"/>
    </w:p>
    <w:p w14:paraId="270115A8" w14:textId="6643F877" w:rsidR="00853A63" w:rsidRDefault="00853A63" w:rsidP="00853A63">
      <w:r>
        <w:t xml:space="preserve">Die Fußball-Weltmeisterschaft ist in vollem Gange und </w:t>
      </w:r>
      <w:r w:rsidR="00D22327">
        <w:t xml:space="preserve">auch wenn </w:t>
      </w:r>
      <w:r>
        <w:t xml:space="preserve">Deutschland </w:t>
      </w:r>
      <w:r w:rsidR="00D22327">
        <w:t>bereits ausgeschieden ist, ist das Thema Fußball in aller Munde</w:t>
      </w:r>
      <w:r>
        <w:t xml:space="preserve">. In diesen Kontext passt eine aktuell veröffentlichte Entscheidung des Finanzgerichts </w:t>
      </w:r>
      <w:r w:rsidR="00D22327">
        <w:t xml:space="preserve">(FG) </w:t>
      </w:r>
      <w:r>
        <w:t>Bremen. Die Bremer Richter hatten darüber zu entscheiden, wie die Überlassung von Stadion-Dauerkarten an Geschäftspartner und Arbeitnehmer steuerlich zu beurteilen ist.</w:t>
      </w:r>
    </w:p>
    <w:p w14:paraId="6FA8A88B" w14:textId="305B4FA6" w:rsidR="00853A63" w:rsidRDefault="00853A63" w:rsidP="00853A63">
      <w:pPr>
        <w:pStyle w:val="berschrift2"/>
      </w:pPr>
      <w:r>
        <w:t>Was war passiert?</w:t>
      </w:r>
    </w:p>
    <w:p w14:paraId="3456C685" w14:textId="77777777" w:rsidR="00853A63" w:rsidRDefault="00853A63" w:rsidP="00853A63">
      <w:r>
        <w:t xml:space="preserve">Ein Unternehmen erwarb fünf Dauerkarten für Spiele eines Bundesligavereins. Es handelte sich um Karten für sog. Business-Seats (d.h. Sitzplätze auf der Tribüne, Zutritt zum VIP-Club ab 2 Std. vor Spielbeginn und 2 Std. nach Spielende, Parkplätze, Hostessenservice,…). </w:t>
      </w:r>
    </w:p>
    <w:p w14:paraId="000AB70F" w14:textId="65D76369" w:rsidR="00853A63" w:rsidRDefault="00853A63" w:rsidP="00853A63">
      <w:r>
        <w:t xml:space="preserve">Die Karten wurden von eigenen Arbeitnehmern und </w:t>
      </w:r>
      <w:r w:rsidR="008F21FA">
        <w:t xml:space="preserve">von </w:t>
      </w:r>
      <w:r>
        <w:t>Geschäftspartnern</w:t>
      </w:r>
      <w:r w:rsidR="008F21FA">
        <w:t xml:space="preserve"> genutzt</w:t>
      </w:r>
      <w:r>
        <w:t>. Zum Teil erfolgte eine Begleitung durch deren Ehepartner.</w:t>
      </w:r>
    </w:p>
    <w:p w14:paraId="361D6CA7" w14:textId="2E9ED76C" w:rsidR="00853A63" w:rsidRDefault="00853A63" w:rsidP="00853A63">
      <w:r>
        <w:t>Die Eintrittskarten wurden zu Repräsentations- und Werbezwecken eingesetzt. Um diesen Zweck zu erreichen, kamen die Gäste regelmäßig vor den Spielen in die Räumlichkeiten des Unternehmens und gingen anschließend gemeinsam in das Stadion. Der Geschäftsführer des Unternehmens stellte den Firmenwimpel auf den Tisch und hielt eine Ansprache mit Bezug auf die Geschäftstätigkeit des Unternehmens. Anschließend wurde die Bewirtung durchge</w:t>
      </w:r>
      <w:r w:rsidR="008F21FA">
        <w:t>führt und das Spiel angeschaut.</w:t>
      </w:r>
    </w:p>
    <w:p w14:paraId="21DE10F9" w14:textId="6F2D1283" w:rsidR="00853A63" w:rsidRDefault="00853A63" w:rsidP="00853A63">
      <w:r>
        <w:t xml:space="preserve">Das Unternehmen machte die Aufwendungen für die Karten zum Teil als Werbeaufwand steuerlich geltend. Bezüglich der Besteuerung von Zuwendungen an Arbeitnehmer und Geschäftspartner optierte das Unternehmen zwar zur pauschalen Besteuerung mit 30% </w:t>
      </w:r>
      <w:r>
        <w:lastRenderedPageBreak/>
        <w:t xml:space="preserve">zzgl. Solidaritätszuschlag und Kirchensteuer. </w:t>
      </w:r>
      <w:r w:rsidR="008F21FA">
        <w:t>Der Teil der Kosten, der nach Ansicht des Unternehmens Werbeaufwand darstellte, wurde jedoch nicht in die Pauschalierung einbezogen.</w:t>
      </w:r>
    </w:p>
    <w:p w14:paraId="5F3DDA73" w14:textId="5106D551" w:rsidR="00853A63" w:rsidRDefault="00853A63" w:rsidP="00853A63">
      <w:r>
        <w:t xml:space="preserve">Das Finanzamt ging dagegen davon aus, dass es sich bei der Überlassung der Eintrittskarten in </w:t>
      </w:r>
      <w:r w:rsidRPr="00F67ADD">
        <w:rPr>
          <w:u w:val="single"/>
        </w:rPr>
        <w:t>vollem Umfang</w:t>
      </w:r>
      <w:r>
        <w:t xml:space="preserve"> um eine Zuwendung handelte</w:t>
      </w:r>
      <w:r w:rsidR="00F67ADD">
        <w:t>, die</w:t>
      </w:r>
      <w:r>
        <w:t xml:space="preserve"> in die Pauschalierung einzubeziehen</w:t>
      </w:r>
      <w:r w:rsidR="00F67ADD">
        <w:t xml:space="preserve"> sei</w:t>
      </w:r>
      <w:r>
        <w:t>.</w:t>
      </w:r>
    </w:p>
    <w:p w14:paraId="62F25E3E" w14:textId="77777777" w:rsidR="00853A63" w:rsidRDefault="00853A63" w:rsidP="00853A63">
      <w:pPr>
        <w:pStyle w:val="berschrift2"/>
      </w:pPr>
      <w:r>
        <w:t>Entscheidung des FG Bremen</w:t>
      </w:r>
    </w:p>
    <w:p w14:paraId="07166305" w14:textId="4067FC13" w:rsidR="00853A63" w:rsidRDefault="00853A63" w:rsidP="00853A63">
      <w:r>
        <w:t xml:space="preserve">Das </w:t>
      </w:r>
      <w:r w:rsidR="00D22327">
        <w:t>FG</w:t>
      </w:r>
      <w:r>
        <w:t xml:space="preserve"> Bremen gab dem Finanzamt Recht. Der Besuch eines Spiels stelle seiner Ansicht nach eine übliche Freizeitbeschäftigung mit einem hohen Erlebniswert dar. Die Gewährung der Zutrittsmöglichkeit zu den Spielen führe daher bei den Arbeitnehmern und den Geschäftspartnern zu steuerpflichtigen Einkünften. Die Aufwendungen seien– wie andere Zuwendungen auch – </w:t>
      </w:r>
      <w:r w:rsidR="00F67ADD">
        <w:t xml:space="preserve">in vollem Umfang </w:t>
      </w:r>
      <w:r>
        <w:t>in die Pauschalierung einzubeziehen.</w:t>
      </w:r>
    </w:p>
    <w:p w14:paraId="00E158EA" w14:textId="77777777" w:rsidR="00853A63" w:rsidRDefault="00853A63" w:rsidP="00853A63">
      <w:r>
        <w:t>Zwar habe das Unternehmen die Besuche der Spiele zu Repräsentations- und Werbezwecken durchgeführt, doch führe dies nicht dazu, dass das eigene Interesse der Arbeitnehmer am Besuch des Spiels vernachlässigt werden könne. Es sei weder eine Verpflichtung von Arbeitnehmern zur Teilnahme an den Stadionbesuchen ersichtlich, noch seien während des Aufenthaltes im Stadion von den Arbeitnehmern betriebliche Aufgaben zu erfüllen gewesen. Auch die Zusammenkunft in den Räumlichkeiten des Unternehmens und der aufgestellte Firmenwimpel sowie die Ansprache des Geschäftsführers änderten daran nichts. Die Betrachtung des eigentlichen Spiels sei in keiner Weise durch betriebliche Aspekte geprägt gewesen.</w:t>
      </w:r>
    </w:p>
    <w:p w14:paraId="476F6A21" w14:textId="77777777" w:rsidR="00853A63" w:rsidRPr="00853A63" w:rsidRDefault="00853A63" w:rsidP="00853A63">
      <w:pPr>
        <w:rPr>
          <w:u w:val="single"/>
        </w:rPr>
      </w:pPr>
      <w:r w:rsidRPr="00853A63">
        <w:rPr>
          <w:u w:val="single"/>
        </w:rPr>
        <w:t>Hinweis:</w:t>
      </w:r>
    </w:p>
    <w:p w14:paraId="69E8BF88" w14:textId="1847437D" w:rsidR="00C16879" w:rsidRDefault="00853A63" w:rsidP="00853A63">
      <w:r>
        <w:t xml:space="preserve">Wären teilweise auch potentielle Geschäftspartner ins Stadion eingeladen worden, zu denen noch keine Geschäftsbeziehung bestand, so hätte nach </w:t>
      </w:r>
      <w:r>
        <w:lastRenderedPageBreak/>
        <w:t>einem Urteil des sächsischen Finanzgerichts eine Einbeziehung in die Pauschalierung u.U. unterbleiben können.</w:t>
      </w:r>
    </w:p>
    <w:p w14:paraId="150C595E" w14:textId="113890D2" w:rsidR="00853A63" w:rsidRDefault="00853A63" w:rsidP="00853A63">
      <w:pPr>
        <w:pStyle w:val="berschrift1"/>
      </w:pPr>
      <w:bookmarkStart w:id="3" w:name="_Toc518039864"/>
      <w:r>
        <w:t>Der Verkauf von (privaten) Stadionkarten</w:t>
      </w:r>
      <w:bookmarkEnd w:id="3"/>
    </w:p>
    <w:p w14:paraId="2DDC482C" w14:textId="3EC3584F" w:rsidR="00853A63" w:rsidRDefault="00D34D06" w:rsidP="00853A63">
      <w:r>
        <w:t>D</w:t>
      </w:r>
      <w:r w:rsidR="00853A63">
        <w:t xml:space="preserve">as </w:t>
      </w:r>
      <w:r>
        <w:t>FG</w:t>
      </w:r>
      <w:r w:rsidR="00853A63">
        <w:t xml:space="preserve"> Baden-Württemberg </w:t>
      </w:r>
      <w:r>
        <w:t xml:space="preserve">hat sich kürzlich </w:t>
      </w:r>
      <w:r w:rsidR="00853A63">
        <w:t xml:space="preserve">zur steuerlichen Würdigung </w:t>
      </w:r>
      <w:r>
        <w:t>von</w:t>
      </w:r>
      <w:r w:rsidR="00853A63">
        <w:t xml:space="preserve"> Gewinne</w:t>
      </w:r>
      <w:r>
        <w:t>n</w:t>
      </w:r>
      <w:r w:rsidR="00853A63">
        <w:t xml:space="preserve"> aus dem Verkauf privat beschaffter Eintrittskarten geäußert. Es hält die Einkünfte für </w:t>
      </w:r>
      <w:r w:rsidR="00853A63" w:rsidRPr="00853A63">
        <w:rPr>
          <w:u w:val="single"/>
        </w:rPr>
        <w:t>nicht</w:t>
      </w:r>
      <w:r w:rsidR="00853A63">
        <w:t xml:space="preserve"> steuerbar!</w:t>
      </w:r>
    </w:p>
    <w:p w14:paraId="76C9800C" w14:textId="53F56BDB" w:rsidR="00853A63" w:rsidRDefault="00224CFA" w:rsidP="00853A63">
      <w:pPr>
        <w:pStyle w:val="berschrift2"/>
      </w:pPr>
      <w:r>
        <w:t>Gewinn aus Weiterverkauf</w:t>
      </w:r>
      <w:r w:rsidR="00853A63">
        <w:t xml:space="preserve"> von Eintrittskarten (z.B. Final-Tickets)</w:t>
      </w:r>
    </w:p>
    <w:p w14:paraId="2B4231D0" w14:textId="671F92F5" w:rsidR="00853A63" w:rsidRDefault="00853A63" w:rsidP="00853A63">
      <w:r>
        <w:t>Ein Ehepaar hatte zwei Eintrittskarten für das UEFA-Champions-League-Finale erworben. Diese hatten sie, nachdem sie sich für einen entsprechenden Erwerb registriert hatten, über die offizielle UEFA-Webseite zugelost bekommen. Die Anschaffungskosten betrugen 330,– EUR. Ursprünglich hatten sie geplant, das Finale zusammen zu besuchen. Nachdem jedoch feststand, dass das Finale ohne deutsche Beteiligung stattfinden würde, entschloss</w:t>
      </w:r>
      <w:r w:rsidR="00224CFA">
        <w:t>en</w:t>
      </w:r>
      <w:r>
        <w:t xml:space="preserve"> sie sich zum Verkauf der</w:t>
      </w:r>
      <w:r w:rsidR="00224CFA">
        <w:t xml:space="preserve"> Eintrittskarten</w:t>
      </w:r>
      <w:r>
        <w:t>. Der Verkauf erfolgte über die Online-Ticketplattform. Der ausbezahlte Veräußerungserlös abzüglich Gebühren betrug 2.907,– EUR.</w:t>
      </w:r>
    </w:p>
    <w:p w14:paraId="257DD04E" w14:textId="1E02B2E2" w:rsidR="00853A63" w:rsidRDefault="00853A63" w:rsidP="00853A63">
      <w:r>
        <w:t xml:space="preserve">Das Finanzamt ging </w:t>
      </w:r>
      <w:r w:rsidR="00224CFA">
        <w:t xml:space="preserve">von </w:t>
      </w:r>
      <w:r>
        <w:t>steuerbaren und steuerpflichtigen sonstigen Einkünften aus priv</w:t>
      </w:r>
      <w:r w:rsidR="00224CFA">
        <w:t>aten Veräußerungsgeschäften aus. Schließlich seien</w:t>
      </w:r>
      <w:r>
        <w:t xml:space="preserve"> Anschaffung und Verkauf </w:t>
      </w:r>
      <w:r w:rsidR="00224CFA">
        <w:t>innerhalb eines Jahres erfolgt</w:t>
      </w:r>
      <w:r>
        <w:t>. Es unterwarf daher den Gewinn der Besteuerung.</w:t>
      </w:r>
    </w:p>
    <w:p w14:paraId="66AD0EB5" w14:textId="649FAD70" w:rsidR="00853A63" w:rsidRDefault="00224CFA" w:rsidP="00853A63">
      <w:pPr>
        <w:pStyle w:val="berschrift2"/>
      </w:pPr>
      <w:r>
        <w:t xml:space="preserve">…nach Ansicht </w:t>
      </w:r>
      <w:r w:rsidR="00853A63">
        <w:t xml:space="preserve">des </w:t>
      </w:r>
      <w:r w:rsidR="00D34D06">
        <w:t>FG</w:t>
      </w:r>
      <w:r>
        <w:t xml:space="preserve"> Baden-Württemberg nicht steuerbar</w:t>
      </w:r>
    </w:p>
    <w:p w14:paraId="181A35CF" w14:textId="3A310FB5" w:rsidR="00853A63" w:rsidRDefault="00853A63" w:rsidP="00853A63">
      <w:r>
        <w:t xml:space="preserve">Zu Unrecht, wie das </w:t>
      </w:r>
      <w:r w:rsidR="00D34D06">
        <w:t>FG</w:t>
      </w:r>
      <w:r>
        <w:t xml:space="preserve"> Baden-Württemberg nun entschied. Bei den Eintrittskarten handele es sich zwar um private Wirtschaftsgüter, die innerhalb der maßgeblichen Jahresfrist veräußert wurden. </w:t>
      </w:r>
      <w:r w:rsidR="00224CFA">
        <w:t>Indes</w:t>
      </w:r>
      <w:r>
        <w:t xml:space="preserve"> stellen die Eintrittskarten steuerlich betrachtet Wertpapiere dar. Diese seien </w:t>
      </w:r>
      <w:r>
        <w:lastRenderedPageBreak/>
        <w:t>aber seit der Unternehmensteuerreform 2008 dem Anwendungsbereich der privaten Veräußerungsgeschäfte entzogen.</w:t>
      </w:r>
    </w:p>
    <w:p w14:paraId="408F09EF" w14:textId="11846AA1" w:rsidR="00853A63" w:rsidRDefault="00853A63" w:rsidP="00853A63">
      <w:r>
        <w:t xml:space="preserve">Die Besteuerung von Wertpapieren richte sich seitdem nach den Regelungen für Einkünfte aus Kapitalvermögen. Dort sei jedoch für das Wertpapier „Eintrittskarten“ kein Besteuerungstatbestand </w:t>
      </w:r>
      <w:r w:rsidR="00224CFA">
        <w:t>gegeben</w:t>
      </w:r>
      <w:r>
        <w:t>.</w:t>
      </w:r>
    </w:p>
    <w:p w14:paraId="4A7CF775" w14:textId="1FFB6447" w:rsidR="00853A63" w:rsidRDefault="00853A63" w:rsidP="00853A63">
      <w:r>
        <w:t>Somit seien die Gewinne aus Eintrittskarten weder bei den Einkünften aus privaten Veräußerungsgeschäften noch bei den Einkünften aus Kapitalvermögen zu besteuern. Die Gewinne sind damit im Endeffekt nicht steuerbar.</w:t>
      </w:r>
    </w:p>
    <w:p w14:paraId="15CD34CE" w14:textId="4903BCDA" w:rsidR="00853A63" w:rsidRDefault="00853A63" w:rsidP="00853A63">
      <w:r>
        <w:t xml:space="preserve">Das letzte Wort wird </w:t>
      </w:r>
      <w:r w:rsidR="00224CFA">
        <w:t xml:space="preserve">wohl </w:t>
      </w:r>
      <w:r>
        <w:t>der Bundesfinanzhof</w:t>
      </w:r>
      <w:r w:rsidR="0084656D">
        <w:t xml:space="preserve"> (BFH)</w:t>
      </w:r>
      <w:r>
        <w:t xml:space="preserve"> sprechen müssen. Das Finanzgericht hat Revision zugelassen.</w:t>
      </w:r>
    </w:p>
    <w:p w14:paraId="659FA68B" w14:textId="434FD4C3" w:rsidR="00C16879" w:rsidRDefault="00C16879" w:rsidP="00C16879">
      <w:pPr>
        <w:pStyle w:val="berschrift1"/>
      </w:pPr>
      <w:bookmarkStart w:id="4" w:name="_Toc518039865"/>
      <w:r>
        <w:t>Verfassungswidrigkeit der Höhe von Nachzahlungszinsen</w:t>
      </w:r>
      <w:bookmarkEnd w:id="4"/>
    </w:p>
    <w:p w14:paraId="6BAFECE0" w14:textId="4155AD0D" w:rsidR="00224CFA" w:rsidRDefault="00224CFA" w:rsidP="00224CFA">
      <w:r>
        <w:t>Seit Jahren ist streitig, ob die pauschalen Nachzahlungszinsen i.H.v. 6%, die auf Steuernachforderungen erhoben werden, beim derzeitig niedrigen Zinsniveau mit dem Grundgesetz vereinbar sind. Mehrfach berichteten wir hierüber (vgl. zuletzt Mandanten-Infobrief vom 01.03.2018, Punkt 10).</w:t>
      </w:r>
    </w:p>
    <w:p w14:paraId="571F3560" w14:textId="2995292E" w:rsidR="00224CFA" w:rsidRDefault="0084656D" w:rsidP="00224CFA">
      <w:pPr>
        <w:pStyle w:val="berschrift2"/>
      </w:pPr>
      <w:r>
        <w:t>BFH</w:t>
      </w:r>
      <w:r w:rsidR="00224CFA">
        <w:t xml:space="preserve"> hat verfassungsrechtliche Zweifel!</w:t>
      </w:r>
    </w:p>
    <w:p w14:paraId="634F8235" w14:textId="2D5B5EB5" w:rsidR="00224CFA" w:rsidRDefault="00224CFA" w:rsidP="00224CFA">
      <w:r>
        <w:t>Nun hat auch der BFH in einem Verfahren zum vorläufigen Rechtsschutz schwerwiegende Zweifel an der Verfassungsmäßigkeit der Zinshöhe zum Ausdruck gebracht. Er gewährte den Antragstellern daher Aussetzung der Vollziehung, so dass die strittigen Zinsen bis zur Entscheidung im Hauptsacheverfahren vorerst nicht zu zahlen sind. Betroffen sind sämtliche in der Abgabenordnung vorgesehene Zinsen für Verzinsungszeiträume ab dem 01.04.2015 (d.h. z.B. Nachzahlungszinsen, Stundungszinsen, Hinterziehungszinsen und Aussetzungszinsen).</w:t>
      </w:r>
    </w:p>
    <w:p w14:paraId="7C431F64" w14:textId="5CCD8724" w:rsidR="00224CFA" w:rsidRDefault="00224CFA" w:rsidP="00224CFA">
      <w:r>
        <w:lastRenderedPageBreak/>
        <w:t xml:space="preserve">Nach Auffassung </w:t>
      </w:r>
      <w:r w:rsidR="00D34D06">
        <w:t xml:space="preserve">des </w:t>
      </w:r>
      <w:r>
        <w:t xml:space="preserve">BFH begegnet die Zinshöhe durch ihre realitätsferne Bemessung im Hinblick auf den allgemeinen Gleichheitssatz und das Übermaßverbot schwerwiegenden verfassungsrechtlichen Zweifeln. Der gesetzlich festgelegte Zinssatz überschreite angesichts einer zu dieser Zeit bereits eingetretenen strukturellen und nachhaltigen Verfestigung des niedrigen Marktzinsniveaus den angemessenen Rahmen der wirtschaftlichen Realität in erheblichem Maße. </w:t>
      </w:r>
    </w:p>
    <w:p w14:paraId="36182E00" w14:textId="77777777" w:rsidR="00224CFA" w:rsidRDefault="00224CFA" w:rsidP="00224CFA">
      <w:r>
        <w:t>Dem könne nicht entgegen gehalten werden, dass bei Kreditkartenkrediten für private Haushalte Zinssätze von rund 14 Prozent oder bei Girokontenüberziehungen Zinssätze von rund 9 Prozent anfallen würden. Hierbei handele es sich um Sonderfaktoren, die nicht als Referenzwerte für ein realitätsgerechtes Leitbild geeignet seien und damit einem typisierten Zinssatz nicht zu Grunde gelegt werden dürften.</w:t>
      </w:r>
    </w:p>
    <w:p w14:paraId="58A9746A" w14:textId="77777777" w:rsidR="00224CFA" w:rsidRDefault="00224CFA" w:rsidP="00224CFA">
      <w:pPr>
        <w:pStyle w:val="berschrift2"/>
      </w:pPr>
      <w:r>
        <w:t>Reaktion der Finanzverwaltung</w:t>
      </w:r>
    </w:p>
    <w:p w14:paraId="523DC42C" w14:textId="30268329" w:rsidR="00D42C1E" w:rsidRDefault="00224CFA" w:rsidP="00224CFA">
      <w:r>
        <w:t>Die Finanzverwaltung hat auf den BFH-Beschluss bereits reagiert. Sie hat die Finanzämter angewiesen auf Antrag der Betroffenen in allen Fällen, in denen Einspruch gegen die Zinsfestsetzung eingelegt wird bzw. wurde, ebenfalls Aussetzung der Vollziehung zu gewähren. Voraussetzung ist jedoch, dass die Zinsfestsetzung Zeiträume ab 01.04.2015 betrifft.</w:t>
      </w:r>
    </w:p>
    <w:p w14:paraId="7A5EDC13" w14:textId="544EC135" w:rsidR="00D42C1E" w:rsidRDefault="00C16879" w:rsidP="00C16879">
      <w:pPr>
        <w:pStyle w:val="berschrift1"/>
      </w:pPr>
      <w:bookmarkStart w:id="5" w:name="_Toc518039866"/>
      <w:r>
        <w:t>Familienentlastungsgesetz</w:t>
      </w:r>
      <w:bookmarkEnd w:id="5"/>
    </w:p>
    <w:p w14:paraId="0CD78C9D" w14:textId="05D4472D" w:rsidR="00224CFA" w:rsidRDefault="00224CFA" w:rsidP="00224CFA">
      <w:r>
        <w:t>Gemäß einem derzeitigen Gesetzesentwurf plant die Bundesregierung ab 2019 Familien steuerlich zu entlasten. Damit sollen die entsprechenden Vorgaben aus dem Koalitionsvertrag umgesetzt werden. Es sind insbesondere folgende Maßnahmen geplant:</w:t>
      </w:r>
    </w:p>
    <w:p w14:paraId="443A29FE" w14:textId="480A2096" w:rsidR="00224CFA" w:rsidRDefault="00224CFA" w:rsidP="00224CFA">
      <w:pPr>
        <w:pStyle w:val="Listenabsatz"/>
        <w:numPr>
          <w:ilvl w:val="0"/>
          <w:numId w:val="44"/>
        </w:numPr>
      </w:pPr>
      <w:r>
        <w:t>Erhöhung Kindergeld ab Juli 2019 um 10 € je Kind</w:t>
      </w:r>
    </w:p>
    <w:p w14:paraId="0669CFA4" w14:textId="30E7637A" w:rsidR="00224CFA" w:rsidRDefault="00224CFA" w:rsidP="00224CFA">
      <w:pPr>
        <w:pStyle w:val="Listenabsatz"/>
        <w:numPr>
          <w:ilvl w:val="0"/>
          <w:numId w:val="44"/>
        </w:numPr>
      </w:pPr>
      <w:r>
        <w:lastRenderedPageBreak/>
        <w:t>Erhöhung Kinderfreibetrag ab Veranlagungszeitraum 2019 auf 2.490 € je Elternteil (bisher 2.394 €), sowie erneute Anhebung ab dem Veranlagung</w:t>
      </w:r>
      <w:r w:rsidR="004D58DF">
        <w:t>szeitraum 2020 auf dann 2.586 €</w:t>
      </w:r>
    </w:p>
    <w:p w14:paraId="244F7C4E" w14:textId="29B3BCC5" w:rsidR="00224CFA" w:rsidRDefault="00224CFA" w:rsidP="00224CFA">
      <w:pPr>
        <w:pStyle w:val="Listenabsatz"/>
        <w:numPr>
          <w:ilvl w:val="0"/>
          <w:numId w:val="44"/>
        </w:numPr>
      </w:pPr>
      <w:r>
        <w:t>Anhebung des Grundfreibetrags ab dem Veranlagungszeitraum 2019 auf 9.168 € (bisher 9.000 €), sowie erneute Anhebung ab dem Veranlagung</w:t>
      </w:r>
      <w:r w:rsidR="004D58DF">
        <w:t>szeitraum 2020 auf dann 9.408 €</w:t>
      </w:r>
    </w:p>
    <w:p w14:paraId="528AA470" w14:textId="186078E1" w:rsidR="00C16879" w:rsidRDefault="00224CFA" w:rsidP="00224CFA">
      <w:r>
        <w:t>Insgesamt ergeben sich durch die geplanten Maßnahmen nach Schätzungen der Bundesregierung Entlastungeffekte im Umfang von fast 9,8 Mrd. €.</w:t>
      </w:r>
    </w:p>
    <w:p w14:paraId="14D1AB02" w14:textId="55AD3220" w:rsidR="00D42C1E" w:rsidRDefault="00C16879" w:rsidP="00A43CD8">
      <w:pPr>
        <w:pStyle w:val="berschrift1"/>
        <w:jc w:val="left"/>
      </w:pPr>
      <w:bookmarkStart w:id="6" w:name="_Toc518039867"/>
      <w:r w:rsidRPr="00C16879">
        <w:t>Keine begünstigte Handwerker</w:t>
      </w:r>
      <w:r w:rsidR="00A43CD8">
        <w:t>-</w:t>
      </w:r>
      <w:r w:rsidRPr="00C16879">
        <w:t>leistung bei Baukostenzuschuss für öffentliche Mischwasserleitung</w:t>
      </w:r>
      <w:bookmarkEnd w:id="6"/>
    </w:p>
    <w:p w14:paraId="0ED80347" w14:textId="109CA91A" w:rsidR="00224CFA" w:rsidRDefault="00224CFA" w:rsidP="00224CFA">
      <w:r>
        <w:t xml:space="preserve">Der BFH hat kürzlich entschieden, dass Aufwendungen für die Neuverlegung einer öffentlichen Mischwasserleitung als Teil des öffentlichen Sammelnetzes bei der Steuerermäßigung für Handwerkerleistungen </w:t>
      </w:r>
      <w:r w:rsidRPr="009B28C4">
        <w:rPr>
          <w:u w:val="single"/>
        </w:rPr>
        <w:t>nicht</w:t>
      </w:r>
      <w:r>
        <w:t xml:space="preserve"> zu berücksichtigen sind. Die Entscheidung ist ein wichtiger rechtlicher Baustein bei der Steuerermäßigung von Handwerkerleistungen und rundet die bisherige Rechtsprechung zu diesem Bereich ab.</w:t>
      </w:r>
    </w:p>
    <w:p w14:paraId="48B779F4" w14:textId="77777777" w:rsidR="00224CFA" w:rsidRDefault="00224CFA" w:rsidP="009B28C4">
      <w:pPr>
        <w:pStyle w:val="berschrift2"/>
      </w:pPr>
      <w:r>
        <w:t>Kontext der Entscheidung</w:t>
      </w:r>
    </w:p>
    <w:p w14:paraId="41CE6001" w14:textId="77777777" w:rsidR="00224CFA" w:rsidRDefault="00224CFA" w:rsidP="00224CFA">
      <w:r>
        <w:t xml:space="preserve">Die Steuerermäßigung für Handwerkerleistungen setzt voraus, dass diese „im Haushalt“ des Steuerpflichtigen erbracht werden. Bereits im Jahr 2014 hatte der BFH in diesem Zusammenhang entschieden, dass diese Voraussetzung nicht „örtlich“ sondern „räumlich-funktional“ zu verstehen sei. Deshalb hat er z.B. den Abzug von Aufwendungen für den Winterdienst </w:t>
      </w:r>
      <w:r>
        <w:lastRenderedPageBreak/>
        <w:t>auf dem öffentlichen Gehweg jenseits der Grundstücksgrenze für zulässig erachtet.</w:t>
      </w:r>
    </w:p>
    <w:p w14:paraId="2545E274" w14:textId="77777777" w:rsidR="00224CFA" w:rsidRDefault="00224CFA" w:rsidP="00224CFA">
      <w:r>
        <w:t>Seither war strittig, wie genau das Erfordernis „räumlich-funktional“ zu verstehen ist und in welchem Umfang andere örtlich außerhalb des Haushalts erbrachte Handwerkerleistungen berücksichtigungsfähig sind.</w:t>
      </w:r>
    </w:p>
    <w:p w14:paraId="3E712716" w14:textId="77777777" w:rsidR="009B28C4" w:rsidRDefault="00224CFA" w:rsidP="00224CFA">
      <w:r>
        <w:t xml:space="preserve">Beispielsweise hat der BFH Kosten für den erstmaligen Hausanschluss (auf dem Grundstück des Steuerpflichtigen) als begünstigt angesehen. </w:t>
      </w:r>
    </w:p>
    <w:p w14:paraId="00A63BFC" w14:textId="4BEA7A33" w:rsidR="009B28C4" w:rsidRDefault="009B28C4" w:rsidP="009B28C4">
      <w:pPr>
        <w:pStyle w:val="berschrift2"/>
      </w:pPr>
      <w:r>
        <w:t xml:space="preserve">Aktueller Fall und Beurteilung durch den </w:t>
      </w:r>
      <w:r w:rsidR="00F67ADD">
        <w:t>BFH</w:t>
      </w:r>
    </w:p>
    <w:p w14:paraId="050D38B0" w14:textId="15F55ABA" w:rsidR="00224CFA" w:rsidRDefault="00224CFA" w:rsidP="00224CFA">
      <w:r>
        <w:t xml:space="preserve">Im aktuellen Fall ging es </w:t>
      </w:r>
      <w:r w:rsidR="009B28C4">
        <w:t xml:space="preserve">um </w:t>
      </w:r>
      <w:r>
        <w:t xml:space="preserve">Baukostenzuschüsse zu denen die Anwohner herangezogen wurden, da außerhalb der Grundstücksgrenze neue Mischwasserleitungen verlegt wurden (bisher erfolgt die Abwasserentsorgung mittels </w:t>
      </w:r>
      <w:r w:rsidR="009B28C4">
        <w:t>eigener</w:t>
      </w:r>
      <w:r>
        <w:t xml:space="preserve"> Sickergrube</w:t>
      </w:r>
      <w:r w:rsidR="009B28C4">
        <w:t>n</w:t>
      </w:r>
      <w:r>
        <w:t xml:space="preserve"> auf de</w:t>
      </w:r>
      <w:r w:rsidR="009B28C4">
        <w:t>n</w:t>
      </w:r>
      <w:r>
        <w:t xml:space="preserve"> </w:t>
      </w:r>
      <w:r w:rsidR="009B28C4">
        <w:t xml:space="preserve">betroffenen </w:t>
      </w:r>
      <w:r>
        <w:t>Grundstück</w:t>
      </w:r>
      <w:r w:rsidR="009B28C4">
        <w:t>en</w:t>
      </w:r>
      <w:r>
        <w:t>).</w:t>
      </w:r>
    </w:p>
    <w:p w14:paraId="4580A2B3" w14:textId="4DAA77D3" w:rsidR="00224CFA" w:rsidRDefault="00224CFA" w:rsidP="00224CFA">
      <w:r>
        <w:t xml:space="preserve">Diese Aufwendungen sind nach Ansicht das BFH nicht begünstigt. Denn im Unterschied zum Hausanschluss eines einzelnen Betroffenen käme der Ausbau des allgemeinen Versorgungsnetzes nicht ausschließlich einzelnen Grundstückseigentümern zugute. Die Maßnahme </w:t>
      </w:r>
      <w:r w:rsidR="003F362E">
        <w:t>diene</w:t>
      </w:r>
      <w:r>
        <w:t xml:space="preserve"> vielmehr allen Nutzern des Versorgungsnetzes. Die Handwerkerleistungen würden damit nicht „im Haushalt“ erbracht.</w:t>
      </w:r>
    </w:p>
    <w:p w14:paraId="72EE8238" w14:textId="77777777" w:rsidR="00224CFA" w:rsidRPr="003F362E" w:rsidRDefault="00224CFA" w:rsidP="00224CFA">
      <w:pPr>
        <w:rPr>
          <w:u w:val="single"/>
        </w:rPr>
      </w:pPr>
      <w:r w:rsidRPr="003F362E">
        <w:rPr>
          <w:u w:val="single"/>
        </w:rPr>
        <w:t>Hinweis:</w:t>
      </w:r>
    </w:p>
    <w:p w14:paraId="43068C57" w14:textId="0434DE54" w:rsidR="00224CFA" w:rsidRDefault="00224CFA" w:rsidP="00224CFA">
      <w:r>
        <w:t>Unerheblich sei es auch, wenn der Baukost</w:t>
      </w:r>
      <w:r w:rsidR="004D58DF">
        <w:t xml:space="preserve">enzuschuss – wie im Streitfall – </w:t>
      </w:r>
      <w:r>
        <w:t>beim erstmaligen Grundstücksanschluss an die öffentliche Abwasserentsorgungsanlage erhoben werde.</w:t>
      </w:r>
    </w:p>
    <w:p w14:paraId="6D42B1F4" w14:textId="77777777" w:rsidR="00224CFA" w:rsidRDefault="00224CFA" w:rsidP="003F362E">
      <w:pPr>
        <w:pStyle w:val="berschrift2"/>
      </w:pPr>
      <w:r>
        <w:t>Fazit</w:t>
      </w:r>
    </w:p>
    <w:p w14:paraId="32B1E15E" w14:textId="1FC3C374" w:rsidR="00224CFA" w:rsidRDefault="00224CFA" w:rsidP="00224CFA">
      <w:r>
        <w:t xml:space="preserve">Betrifft die  Maßnahme das öffentliche Sammelnetz an sich, so ist sie nicht begünstigt. Geht es um den eigentlichen </w:t>
      </w:r>
      <w:r>
        <w:lastRenderedPageBreak/>
        <w:t>Haus- oder Grundstücksanschluss des einzelnen Grundstückseigentümers und dessen Verbindung mit dem öffentlichen Verteilungs- oder Sammelnetzes, so liegt ein</w:t>
      </w:r>
      <w:r w:rsidR="003F362E">
        <w:t>e</w:t>
      </w:r>
      <w:r>
        <w:t xml:space="preserve"> begünstigte Maßnahme vor.</w:t>
      </w:r>
    </w:p>
    <w:p w14:paraId="6D1F9336" w14:textId="77777777" w:rsidR="00224CFA" w:rsidRPr="003F362E" w:rsidRDefault="00224CFA" w:rsidP="00224CFA">
      <w:pPr>
        <w:rPr>
          <w:u w:val="single"/>
        </w:rPr>
      </w:pPr>
      <w:r w:rsidRPr="003F362E">
        <w:rPr>
          <w:u w:val="single"/>
        </w:rPr>
        <w:t>Hinweis:</w:t>
      </w:r>
    </w:p>
    <w:p w14:paraId="16CB52A2" w14:textId="6F5F6411" w:rsidR="00D42C1E" w:rsidRDefault="00224CFA" w:rsidP="00224CFA">
      <w:r>
        <w:t>Steuerlich begünstigt sind die Aufwendungen nur, soweit sie auf Arbeitslohn entfallen (nicht dagegen Materialkosten). Sind die Arbeitskosten auf den öffentlich-rechtlichen Beitragsbescheiden nicht separat ausgewiesen (was der Regelfall sein dürfte) spricht nach Ansicht verschiedener Finanzgerichte nichts dagegen, diesen Kostenanteil i.H.v. 60% zu schätzen.</w:t>
      </w:r>
    </w:p>
    <w:p w14:paraId="685963C5" w14:textId="6A1E7675" w:rsidR="00D42C1E" w:rsidRDefault="00BB6301" w:rsidP="00BB6301">
      <w:pPr>
        <w:pStyle w:val="berschrift1"/>
      </w:pPr>
      <w:bookmarkStart w:id="7" w:name="_Toc518039868"/>
      <w:r>
        <w:t>Einkünfteerzielungsabsicht einer Feng Shui-Beraterin</w:t>
      </w:r>
      <w:bookmarkEnd w:id="7"/>
    </w:p>
    <w:p w14:paraId="48556BFC" w14:textId="52603557" w:rsidR="00D42C1E" w:rsidRDefault="002946D2" w:rsidP="00D42C1E">
      <w:r>
        <w:t>Immer wieder gibt es Streit mit dem Finanzamt, da dieses unternehmerische Tätigkeiten eines Steuerpflichtigen als Liebhaberei einstuft und somit aus dieser Tätigkeit entstehende Verluste steuerlich nicht anerkennen möchte.</w:t>
      </w:r>
    </w:p>
    <w:p w14:paraId="09530E82" w14:textId="4A91D9A9" w:rsidR="002946D2" w:rsidRDefault="002946D2" w:rsidP="00D42C1E">
      <w:r>
        <w:t xml:space="preserve">Das FG Berlin-Brandenburg hat in einem Fall einer Feng-Shui-Beraterin entschieden, dass das Finanzamt </w:t>
      </w:r>
      <w:r w:rsidR="00C97F44">
        <w:t>dieser</w:t>
      </w:r>
      <w:r>
        <w:t xml:space="preserve"> mindestens einen Anlaufzeitraum von 5 Jahren zugestehen muss. Auch sei zu berücksichtigen wie auf diese Anlaufverluste reagier</w:t>
      </w:r>
      <w:r w:rsidR="00C97F44">
        <w:t>t werde</w:t>
      </w:r>
      <w:r>
        <w:t xml:space="preserve">. </w:t>
      </w:r>
    </w:p>
    <w:p w14:paraId="55D67052" w14:textId="6F68FC26" w:rsidR="002946D2" w:rsidRDefault="002946D2" w:rsidP="00D42C1E">
      <w:r>
        <w:t xml:space="preserve">Daher erkannte </w:t>
      </w:r>
      <w:r w:rsidR="00C97F44">
        <w:t xml:space="preserve">das FG </w:t>
      </w:r>
      <w:r>
        <w:t xml:space="preserve">die Aus- und Fortbildungskosten </w:t>
      </w:r>
      <w:r w:rsidR="00C97F44">
        <w:t>der Feng Shui-Beraterin</w:t>
      </w:r>
      <w:r>
        <w:t xml:space="preserve"> als Betriebsausgaben an. Hierbei berücksichtigte das FG insbesondere, dass </w:t>
      </w:r>
      <w:r w:rsidR="00C97F44">
        <w:t xml:space="preserve">die Unternehmerin nach </w:t>
      </w:r>
      <w:r w:rsidRPr="002946D2">
        <w:t xml:space="preserve">Art des Betriebes im Wesentlichen darauf angewiesen sei, durch Mundpropaganda Kunden zu bekommen, was dafür spricht, </w:t>
      </w:r>
      <w:r>
        <w:t>der Steuerpflichtigen</w:t>
      </w:r>
      <w:r w:rsidRPr="002946D2">
        <w:t xml:space="preserve"> eine längere Anlaufphase zuzubilligen. </w:t>
      </w:r>
      <w:r>
        <w:t>Auch hatte die Beraterin auf die Anlaufverluste</w:t>
      </w:r>
      <w:r w:rsidRPr="002946D2">
        <w:t xml:space="preserve"> in der Weise reagiert, dass sie in den Folgejahren ihre Fortbildungskosten reduziert </w:t>
      </w:r>
      <w:r>
        <w:t>habe</w:t>
      </w:r>
      <w:r w:rsidRPr="002946D2">
        <w:t xml:space="preserve">, was  zu positiven Einkünften geführt hat. </w:t>
      </w:r>
      <w:r w:rsidR="00FC70F8">
        <w:t xml:space="preserve">Hierbei </w:t>
      </w:r>
      <w:r w:rsidR="00FC70F8">
        <w:lastRenderedPageBreak/>
        <w:t xml:space="preserve">komme es </w:t>
      </w:r>
      <w:r w:rsidRPr="002946D2">
        <w:t xml:space="preserve">auch nicht darauf an, dass die Gewinne bisher so gering </w:t>
      </w:r>
      <w:r w:rsidR="00FC70F8">
        <w:t>waren (</w:t>
      </w:r>
      <w:r w:rsidR="00FC70F8" w:rsidRPr="002946D2">
        <w:t>204,55 € und 158,58 €</w:t>
      </w:r>
      <w:r w:rsidR="00FC70F8">
        <w:t xml:space="preserve"> in den Folgejahren) </w:t>
      </w:r>
      <w:r w:rsidRPr="002946D2">
        <w:t xml:space="preserve">dass sie nicht geeignet sind, in nennenswerter Weise zum Lebensunterhalt der </w:t>
      </w:r>
      <w:r w:rsidR="00FC70F8">
        <w:t>Steuerpflichtigen beizutragen.</w:t>
      </w:r>
    </w:p>
    <w:p w14:paraId="299E43C7" w14:textId="0882F4A8" w:rsidR="00C97F44" w:rsidRDefault="00C97F44" w:rsidP="00C97F44">
      <w:pPr>
        <w:pStyle w:val="berschrift2"/>
      </w:pPr>
      <w:r>
        <w:t>Praxishinweis</w:t>
      </w:r>
    </w:p>
    <w:p w14:paraId="25AC7246" w14:textId="46C792DD" w:rsidR="00D34D06" w:rsidRDefault="00326743" w:rsidP="00C97F44">
      <w:r>
        <w:t xml:space="preserve">Von den Finanzämtern wird häufig angenommen, dass Liebhaberei vorliegt, wenn die Gewinne aus der unternehmerischen Tätigkeit nicht ausreichen, Lebensunterhalt zu bestreiten. </w:t>
      </w:r>
      <w:r w:rsidR="00C97F44">
        <w:t xml:space="preserve">Nach </w:t>
      </w:r>
      <w:r>
        <w:t>den</w:t>
      </w:r>
      <w:r w:rsidR="00C97F44">
        <w:t xml:space="preserve"> </w:t>
      </w:r>
      <w:r>
        <w:t xml:space="preserve">vom FG Berlin-Brandenburg herangezogenen </w:t>
      </w:r>
      <w:r w:rsidR="00C97F44">
        <w:t xml:space="preserve">Grundsätzen führen </w:t>
      </w:r>
      <w:r>
        <w:t xml:space="preserve">aber </w:t>
      </w:r>
      <w:r w:rsidR="00C97F44">
        <w:t>geringe Gewinne gerade nicht dazu, insgesamt vo</w:t>
      </w:r>
      <w:r>
        <w:t>n einer Liebhaberei auszugehen.</w:t>
      </w:r>
    </w:p>
    <w:p w14:paraId="17B675E0" w14:textId="7C9DB326" w:rsidR="00C97F44" w:rsidRPr="00C97F44" w:rsidRDefault="00326743" w:rsidP="00C97F44">
      <w:r>
        <w:t xml:space="preserve">Wichtig ist es aber, </w:t>
      </w:r>
      <w:r w:rsidR="00C97F44">
        <w:t>Anlaufverluste nicht einfach hinzunehmen</w:t>
      </w:r>
      <w:r>
        <w:t>,</w:t>
      </w:r>
      <w:r w:rsidR="00C97F44">
        <w:t xml:space="preserve"> sondern auf diese</w:t>
      </w:r>
      <w:r>
        <w:t xml:space="preserve"> durch betriebswirtschaftliche Maßnahmen </w:t>
      </w:r>
      <w:r w:rsidR="008F21FA">
        <w:t>zu reagieren.</w:t>
      </w:r>
    </w:p>
    <w:p w14:paraId="35B9974B" w14:textId="03EF8EF4" w:rsidR="00BB6301" w:rsidRDefault="004D58DF" w:rsidP="00BB6301">
      <w:pPr>
        <w:pStyle w:val="berschrift1"/>
      </w:pPr>
      <w:bookmarkStart w:id="8" w:name="_Toc518039869"/>
      <w:r>
        <w:t>Nebenberufliche Tätigkeiten – W</w:t>
      </w:r>
      <w:r w:rsidR="00BB6301">
        <w:t>as ist zu beachten?</w:t>
      </w:r>
      <w:bookmarkEnd w:id="8"/>
    </w:p>
    <w:p w14:paraId="5556E58F" w14:textId="53C91B91" w:rsidR="00B86412" w:rsidRDefault="00A96A6E" w:rsidP="00A96A6E">
      <w:r>
        <w:t xml:space="preserve">Einnahmen aus </w:t>
      </w:r>
      <w:r w:rsidR="00553886">
        <w:t>bestimmten</w:t>
      </w:r>
      <w:r>
        <w:t xml:space="preserve"> nebenberuflichen Tätigkeit können </w:t>
      </w:r>
      <w:r w:rsidR="008F21FA">
        <w:t xml:space="preserve">nach § 3 Nr. 26 EStG </w:t>
      </w:r>
      <w:r w:rsidR="00553886">
        <w:t xml:space="preserve">u.U. bis </w:t>
      </w:r>
      <w:r>
        <w:t>zu einer Höhe von 2.400</w:t>
      </w:r>
      <w:r w:rsidR="00CD41EC">
        <w:t>€</w:t>
      </w:r>
      <w:r>
        <w:t xml:space="preserve"> im Jahr steuerfrei sein</w:t>
      </w:r>
      <w:r w:rsidR="00553886">
        <w:t>.</w:t>
      </w:r>
    </w:p>
    <w:p w14:paraId="6026B578" w14:textId="480CA5CB" w:rsidR="00422D03" w:rsidRPr="001D59B2" w:rsidRDefault="00422D03" w:rsidP="001D59B2">
      <w:pPr>
        <w:pStyle w:val="berschrift2"/>
      </w:pPr>
      <w:r w:rsidRPr="001D59B2">
        <w:t>Tätigkeitsbereiche</w:t>
      </w:r>
    </w:p>
    <w:p w14:paraId="40B91B5F" w14:textId="12BEC594" w:rsidR="00A96A6E" w:rsidRDefault="00B86412" w:rsidP="00A96A6E">
      <w:r>
        <w:t>Steuerlich b</w:t>
      </w:r>
      <w:r w:rsidR="00A96A6E">
        <w:t>egünstigt sind drei Tätigkeitsbereiche:</w:t>
      </w:r>
    </w:p>
    <w:p w14:paraId="3E3C9E89" w14:textId="61326EA9" w:rsidR="00A96A6E" w:rsidRDefault="00A96A6E" w:rsidP="00CD41EC">
      <w:pPr>
        <w:pStyle w:val="Listenabsatz"/>
        <w:numPr>
          <w:ilvl w:val="0"/>
          <w:numId w:val="45"/>
        </w:numPr>
        <w:jc w:val="left"/>
      </w:pPr>
      <w:r>
        <w:t>Nebenberufliche Tätigkeit als Übungsleiter, Ausbilder, Erzieher, Betreuer od</w:t>
      </w:r>
      <w:r w:rsidR="00CD41EC">
        <w:t>er eine vergleichbare Tätigkeit</w:t>
      </w:r>
    </w:p>
    <w:p w14:paraId="7CCA1307" w14:textId="77777777" w:rsidR="00A96A6E" w:rsidRDefault="00A96A6E" w:rsidP="00CD41EC">
      <w:pPr>
        <w:pStyle w:val="Listenabsatz"/>
        <w:numPr>
          <w:ilvl w:val="0"/>
          <w:numId w:val="45"/>
        </w:numPr>
        <w:jc w:val="left"/>
      </w:pPr>
      <w:r>
        <w:t>Nebenberufliche künstlerische Tätigkeit</w:t>
      </w:r>
    </w:p>
    <w:p w14:paraId="4CB0C05D" w14:textId="6F48E14F" w:rsidR="00A96A6E" w:rsidRDefault="00A96A6E" w:rsidP="00CD41EC">
      <w:pPr>
        <w:pStyle w:val="Listenabsatz"/>
        <w:numPr>
          <w:ilvl w:val="0"/>
          <w:numId w:val="45"/>
        </w:numPr>
        <w:jc w:val="left"/>
      </w:pPr>
      <w:r>
        <w:t>Nebenberufliche Pflege alter, kranker oder behinderter Menschen</w:t>
      </w:r>
    </w:p>
    <w:p w14:paraId="29A41EF2" w14:textId="4E96BAFD" w:rsidR="00A96A6E" w:rsidRDefault="00A96A6E" w:rsidP="00A96A6E">
      <w:r>
        <w:t xml:space="preserve">Die begünstigten Tätigkeiten der Übungsleiter, Ausbilder und Erzieher haben miteinander gemeinsam, dass bei ihrer </w:t>
      </w:r>
      <w:r>
        <w:lastRenderedPageBreak/>
        <w:t>Ausübung durch persönliche Kontakte Einfluss auf andere Menschen genommen wird, um auf diese Weise deren Fähigkeiten zu entwickeln und zu fördern. Dies gilt auch für den Begriff des Betreuers.</w:t>
      </w:r>
      <w:r w:rsidR="00B86412">
        <w:t xml:space="preserve"> Begünstigt sind </w:t>
      </w:r>
      <w:r w:rsidR="00B86412" w:rsidRPr="00B86412">
        <w:t>insbesondere Personen, die betreuend im Jugend- und Sportbereich gemeinnütziger Vereine tätig werden. Daher kommt der Übungsleiterfreibetrag auch für die Beaufsichtigung und Betreuung von Jugendlichen durch Jugendleiter, Ferienbetreuer, Schulwegbegleiter etc. in Betracht.</w:t>
      </w:r>
    </w:p>
    <w:p w14:paraId="504EFC93" w14:textId="3CF49087" w:rsidR="00B86412" w:rsidRDefault="00553886" w:rsidP="00A96A6E">
      <w:r>
        <w:t xml:space="preserve">Die nebenberufliche Pflege kranker oder behinderter Menschen setzt keinen Zusammenhang mit körperlicher Pflege voraus. </w:t>
      </w:r>
      <w:r w:rsidR="00B86412" w:rsidRPr="00B86412">
        <w:t xml:space="preserve">Auch ausschließlich hauswirtschaftliche oder betreuende Hilfstätigkeiten für </w:t>
      </w:r>
      <w:r>
        <w:t>alte, kranke</w:t>
      </w:r>
      <w:r w:rsidR="00B86412" w:rsidRPr="00B86412">
        <w:t xml:space="preserve"> oder behinderte Menschen erbracht werden (z.B. Reinigung der Wohnung, Kochen, Einkaufen, Erledigung von Schriftver</w:t>
      </w:r>
      <w:r>
        <w:t>kehr) können begünstigt sein</w:t>
      </w:r>
      <w:r w:rsidR="00B86412" w:rsidRPr="00B86412">
        <w:t>.</w:t>
      </w:r>
    </w:p>
    <w:p w14:paraId="3A63C58A" w14:textId="6CDA727F" w:rsidR="00B86412" w:rsidRPr="001D59B2" w:rsidRDefault="00B86412" w:rsidP="00A96A6E">
      <w:pPr>
        <w:rPr>
          <w:u w:val="single"/>
        </w:rPr>
      </w:pPr>
      <w:r w:rsidRPr="001D59B2">
        <w:rPr>
          <w:u w:val="single"/>
        </w:rPr>
        <w:t>Beachte</w:t>
      </w:r>
    </w:p>
    <w:p w14:paraId="209E1D65" w14:textId="082FE23F" w:rsidR="00B86412" w:rsidRDefault="00B86412" w:rsidP="00A96A6E">
      <w:r w:rsidRPr="00B86412">
        <w:t xml:space="preserve">Nicht begünstigt ist die Aufwandsentschädigung </w:t>
      </w:r>
      <w:r>
        <w:t xml:space="preserve">nach dem BGB </w:t>
      </w:r>
      <w:r w:rsidRPr="00B86412">
        <w:t>für eh</w:t>
      </w:r>
      <w:r>
        <w:t>renamtliche rechtliche Betreuer,</w:t>
      </w:r>
      <w:r w:rsidRPr="00B86412">
        <w:t xml:space="preserve"> ehrenamtlich tätige Vormünder und ehrenamtliche Pfleger</w:t>
      </w:r>
      <w:r w:rsidR="00553886">
        <w:t xml:space="preserve">. Hier fehlt es an </w:t>
      </w:r>
      <w:r w:rsidRPr="00B86412">
        <w:t>einen direkten pädagogisch ausgerichteten persönlichen Kontakt zu den betreuten Menschen</w:t>
      </w:r>
      <w:r w:rsidR="00553886">
        <w:t xml:space="preserve">. Dies ist aber </w:t>
      </w:r>
      <w:r w:rsidRPr="00B86412">
        <w:t>ein Kernbereich des ehrenamtlichen Engagements.</w:t>
      </w:r>
    </w:p>
    <w:p w14:paraId="436904E2" w14:textId="5A766417" w:rsidR="00B86412" w:rsidRPr="00B86412" w:rsidRDefault="00B86412" w:rsidP="001D59B2">
      <w:pPr>
        <w:pStyle w:val="berschrift2"/>
      </w:pPr>
      <w:r w:rsidRPr="00B86412">
        <w:t>Nebenberuflichkeit</w:t>
      </w:r>
    </w:p>
    <w:p w14:paraId="2E7C258B" w14:textId="4FB23631" w:rsidR="00B86412" w:rsidRDefault="00B86412" w:rsidP="00A96A6E">
      <w:r>
        <w:t xml:space="preserve">Eine </w:t>
      </w:r>
      <w:r w:rsidR="00553886">
        <w:t>nebenberufliche</w:t>
      </w:r>
      <w:r>
        <w:t xml:space="preserve"> Tätigkeit liegt vor</w:t>
      </w:r>
      <w:r w:rsidRPr="00B86412">
        <w:t xml:space="preserve">, wenn die Tätigkeit - bezogen auf das Kalenderjahr - nicht mehr als ein Drittel der Arbeitszeit eines vergleichbaren Vollzeiterwerbs in Anspruch nimmt. </w:t>
      </w:r>
      <w:r>
        <w:t>Hierbei</w:t>
      </w:r>
      <w:r w:rsidRPr="00B86412">
        <w:t xml:space="preserve"> ist pauschalierend davon auszugehen, dass bei einer regelmäßigen Wochenarbeitszeit von nicht mehr als 14 Stunden die </w:t>
      </w:r>
      <w:r w:rsidR="00553886">
        <w:t>Ein-Drittel-Grenze erfüllt ist.</w:t>
      </w:r>
    </w:p>
    <w:p w14:paraId="15A7F36E" w14:textId="67327FA7" w:rsidR="00B86412" w:rsidRPr="001D59B2" w:rsidRDefault="00B86412" w:rsidP="00A96A6E">
      <w:pPr>
        <w:rPr>
          <w:u w:val="single"/>
        </w:rPr>
      </w:pPr>
      <w:r w:rsidRPr="001D59B2">
        <w:rPr>
          <w:u w:val="single"/>
        </w:rPr>
        <w:t>Hinweis</w:t>
      </w:r>
    </w:p>
    <w:p w14:paraId="21EDD070" w14:textId="27491B5D" w:rsidR="00B86412" w:rsidRDefault="00B86412" w:rsidP="00A96A6E">
      <w:r w:rsidRPr="00B86412">
        <w:lastRenderedPageBreak/>
        <w:t xml:space="preserve">Es bleibt </w:t>
      </w:r>
      <w:r>
        <w:t xml:space="preserve">aber </w:t>
      </w:r>
      <w:r w:rsidRPr="00B86412">
        <w:t>dem Steuerpflichtigen unbenommen, im Einzelfall eine in seinem Tätigkeitsfeld höhere tari</w:t>
      </w:r>
      <w:r>
        <w:t>fliche Arbeitszeit nachzuweisen, so dass auch bei Überschreiten dieser 14-Stunden-Grenze noch eine Nebenberuflichkeit gegeben sein kann.</w:t>
      </w:r>
    </w:p>
    <w:p w14:paraId="0F4C8545" w14:textId="4D1F8A6B" w:rsidR="00422D03" w:rsidRDefault="00422D03" w:rsidP="00A96A6E">
      <w:r>
        <w:t>Darüber hinaus können auch solche Personen nebenberuflich tätig sein, die keinen Hauptberuf ausüben, z. B. Hausfrauen, Vermieter, Studenten, Rentner oder Arbeitslose. Auch für diese gilt jedoch die 14-Stunden-Grenze.</w:t>
      </w:r>
    </w:p>
    <w:p w14:paraId="4E0E150B" w14:textId="2462C7E0" w:rsidR="00422D03" w:rsidRPr="00422D03" w:rsidRDefault="00422D03" w:rsidP="001D59B2">
      <w:pPr>
        <w:pStyle w:val="berschrift2"/>
      </w:pPr>
      <w:r w:rsidRPr="00422D03">
        <w:t>Arbeitgeber</w:t>
      </w:r>
    </w:p>
    <w:p w14:paraId="091FCF5D" w14:textId="46068471" w:rsidR="00422D03" w:rsidRDefault="00422D03" w:rsidP="00A96A6E">
      <w:r w:rsidRPr="00422D03">
        <w:t xml:space="preserve">Der Freibetrag </w:t>
      </w:r>
      <w:r w:rsidR="00CD41EC">
        <w:t>i.H.v. 2.400 €</w:t>
      </w:r>
      <w:r>
        <w:t xml:space="preserve"> </w:t>
      </w:r>
      <w:r w:rsidRPr="00422D03">
        <w:t xml:space="preserve">wird nur gewährt, wenn die Tätigkeit im Dienst oder im Auftrag einer </w:t>
      </w:r>
      <w:r w:rsidR="001D59B2" w:rsidRPr="001D59B2">
        <w:t xml:space="preserve">Einrichtung zur Förderung </w:t>
      </w:r>
      <w:r w:rsidR="001D59B2" w:rsidRPr="008F21FA">
        <w:rPr>
          <w:b/>
        </w:rPr>
        <w:t>gemeinnütziger</w:t>
      </w:r>
      <w:r w:rsidR="001D59B2" w:rsidRPr="001D59B2">
        <w:t xml:space="preserve">, </w:t>
      </w:r>
      <w:r w:rsidR="001D59B2" w:rsidRPr="008F21FA">
        <w:rPr>
          <w:b/>
        </w:rPr>
        <w:t>mildtätiger</w:t>
      </w:r>
      <w:r w:rsidR="001D59B2" w:rsidRPr="001D59B2">
        <w:t xml:space="preserve"> und </w:t>
      </w:r>
      <w:r w:rsidR="001D59B2" w:rsidRPr="008F21FA">
        <w:rPr>
          <w:b/>
        </w:rPr>
        <w:t>kirchlicher</w:t>
      </w:r>
      <w:r w:rsidR="001D59B2" w:rsidRPr="001D59B2">
        <w:t xml:space="preserve"> Zwecke</w:t>
      </w:r>
      <w:r w:rsidR="001D59B2">
        <w:t xml:space="preserve"> erfolgt</w:t>
      </w:r>
      <w:r w:rsidRPr="00422D03">
        <w:t xml:space="preserve">. </w:t>
      </w:r>
      <w:r w:rsidR="001D59B2">
        <w:t xml:space="preserve">Dies können z.B. sein </w:t>
      </w:r>
      <w:r w:rsidRPr="00422D03">
        <w:t>Gemeinden</w:t>
      </w:r>
      <w:r w:rsidR="001D59B2">
        <w:t xml:space="preserve"> und</w:t>
      </w:r>
      <w:r w:rsidRPr="00422D03">
        <w:t xml:space="preserve"> Gemeindeverbände</w:t>
      </w:r>
      <w:r w:rsidR="001D59B2">
        <w:t xml:space="preserve"> aber auch</w:t>
      </w:r>
      <w:r w:rsidRPr="00422D03">
        <w:t xml:space="preserve"> Industrie- und Ha</w:t>
      </w:r>
      <w:r w:rsidR="001D59B2">
        <w:t xml:space="preserve">ndelskammern, Handwerkskammern aber auch </w:t>
      </w:r>
      <w:r w:rsidRPr="00422D03">
        <w:t>Universitäten oder die Träger der Sozialversicherung.</w:t>
      </w:r>
    </w:p>
    <w:p w14:paraId="70DEB8C4" w14:textId="7B41FFDF" w:rsidR="001D59B2" w:rsidRPr="001D59B2" w:rsidRDefault="001D59B2" w:rsidP="001D59B2">
      <w:pPr>
        <w:pStyle w:val="berschrift2"/>
      </w:pPr>
      <w:r w:rsidRPr="001D59B2">
        <w:t>Be</w:t>
      </w:r>
      <w:r w:rsidR="004D58DF">
        <w:t>i</w:t>
      </w:r>
      <w:r w:rsidRPr="001D59B2">
        <w:t>spiele</w:t>
      </w:r>
    </w:p>
    <w:p w14:paraId="541DB5CB" w14:textId="786084AF" w:rsidR="001D59B2" w:rsidRPr="001D59B2" w:rsidRDefault="001D59B2" w:rsidP="001D59B2">
      <w:pPr>
        <w:rPr>
          <w:u w:val="single"/>
        </w:rPr>
      </w:pPr>
      <w:r w:rsidRPr="001D59B2">
        <w:rPr>
          <w:u w:val="single"/>
        </w:rPr>
        <w:t>Behindertentransport</w:t>
      </w:r>
    </w:p>
    <w:p w14:paraId="6DC23AFE" w14:textId="77777777" w:rsidR="001D59B2" w:rsidRDefault="001D59B2" w:rsidP="001D59B2">
      <w:r>
        <w:t>Fahrer und Beifahrer im Behindertentransport erhalten den Freibetrag nach § 3 Nr. 26 EStG bei Vorliegen der übrigen Voraussetzungen für jeweils 50% ihrer Vergütung, da ihre Tätigkeit in der Regel zu gleichen Teilen auf das Fahren des Behindertenfahrzeugs und die Betreuung behinderter Menschen entfällt.</w:t>
      </w:r>
    </w:p>
    <w:p w14:paraId="04865FB3" w14:textId="6E38C904" w:rsidR="000849F7" w:rsidRDefault="000849F7" w:rsidP="001D59B2">
      <w:r>
        <w:t>Beachte:</w:t>
      </w:r>
    </w:p>
    <w:p w14:paraId="7C79F855" w14:textId="02DFE113" w:rsidR="000849F7" w:rsidRDefault="000849F7" w:rsidP="000849F7">
      <w:r>
        <w:t>Besteht aber eine Aufgabenverteilung zwischen Fahrer und Beifahrer, dass nur Letzterer die B</w:t>
      </w:r>
      <w:r w:rsidR="008F21FA">
        <w:t>etreuung während der Fahrt inne</w:t>
      </w:r>
      <w:r>
        <w:t xml:space="preserve">hat, erzielt nach Auffassung </w:t>
      </w:r>
      <w:r w:rsidR="007F0F78">
        <w:t>des Finanzamts</w:t>
      </w:r>
      <w:r>
        <w:t xml:space="preserve"> auch nur dieser begünstigte Einnahmen. Ob diese Auffassung zutreffend ist</w:t>
      </w:r>
      <w:r w:rsidR="008F21FA">
        <w:t>, ist</w:t>
      </w:r>
      <w:r>
        <w:t xml:space="preserve"> fraglich – dem BFH liegt aktuell der Fall eines Fahrers einer </w:t>
      </w:r>
      <w:r>
        <w:lastRenderedPageBreak/>
        <w:t>Tagespflegeeinrichtung zur Entscheidung vor. Die Vorinstanz des FG Baden-Württemberg hat hier auch den „reinen Transport“ alter, kranker und behinderter Menschen als</w:t>
      </w:r>
      <w:r w:rsidR="008F21FA">
        <w:t xml:space="preserve"> begünstigte </w:t>
      </w:r>
      <w:r>
        <w:t>Pflegemaßnahmen eingestuft und somit die Steuerbefreiung gewährt. Es ist zu hoffen, dass sich der BFH dieser Auffassung anschließt.</w:t>
      </w:r>
    </w:p>
    <w:p w14:paraId="5BDF31FD" w14:textId="4865A981" w:rsidR="001D59B2" w:rsidRPr="001D59B2" w:rsidRDefault="001D59B2" w:rsidP="001D59B2">
      <w:pPr>
        <w:rPr>
          <w:u w:val="single"/>
        </w:rPr>
      </w:pPr>
      <w:r w:rsidRPr="001D59B2">
        <w:rPr>
          <w:u w:val="single"/>
        </w:rPr>
        <w:t>Jugendgruppenleiter</w:t>
      </w:r>
    </w:p>
    <w:p w14:paraId="75DEC20B" w14:textId="02B6878F" w:rsidR="001D59B2" w:rsidRDefault="001D59B2" w:rsidP="001D59B2">
      <w:r>
        <w:t>Inwieweit eine Gewährung des Freibetrags in Betracht kommt, hängt von der tatsächlichen Tätigkeit ab. Soweit lediglich organisatorische Aufgaben wahrgenommen werden, liegt keine begünstigte Tätigkeit vor. Soweit die Vergütung auf die Tätigkeit als Ausbilder oder Betreuer entfällt, kann der Freibetrag i.H.v. 2.400</w:t>
      </w:r>
      <w:r w:rsidR="00CD41EC">
        <w:t> €</w:t>
      </w:r>
      <w:r>
        <w:t xml:space="preserve"> gewährt werden.</w:t>
      </w:r>
    </w:p>
    <w:p w14:paraId="26784573" w14:textId="5D2E8155" w:rsidR="001D59B2" w:rsidRPr="001D59B2" w:rsidRDefault="001D59B2" w:rsidP="001D59B2">
      <w:pPr>
        <w:rPr>
          <w:u w:val="single"/>
        </w:rPr>
      </w:pPr>
      <w:r w:rsidRPr="001D59B2">
        <w:rPr>
          <w:u w:val="single"/>
        </w:rPr>
        <w:t>Ferienbetreuer</w:t>
      </w:r>
    </w:p>
    <w:p w14:paraId="28ADA541" w14:textId="5C249211" w:rsidR="001D59B2" w:rsidRDefault="001D59B2" w:rsidP="001D59B2">
      <w:r>
        <w:t>Ehrenamtliche Ferienbetreuer, die zeitlich begrenzt zur Durchführung von Ferienmaßnahmen eingesetzt werden, sind nebenberuflich tätig, so dass bei Vorliegen der weiteren Voraussetzungen die Einnahmen aus dieser Tätigkeit begünstigt sind.</w:t>
      </w:r>
    </w:p>
    <w:p w14:paraId="44E37A49" w14:textId="77777777" w:rsidR="00D80FE9" w:rsidRDefault="00D80FE9" w:rsidP="001D59B2"/>
    <w:p w14:paraId="3F9E180C" w14:textId="10B38903" w:rsidR="001D59B2" w:rsidRPr="00EC1927" w:rsidRDefault="001D59B2" w:rsidP="001D59B2">
      <w:pPr>
        <w:rPr>
          <w:u w:val="single"/>
        </w:rPr>
      </w:pPr>
      <w:r w:rsidRPr="00EC1927">
        <w:rPr>
          <w:u w:val="single"/>
        </w:rPr>
        <w:t>Stadtführer/Museumsführer</w:t>
      </w:r>
    </w:p>
    <w:p w14:paraId="7043FC40" w14:textId="292E7740" w:rsidR="001D59B2" w:rsidRDefault="001D59B2" w:rsidP="001D59B2">
      <w:r>
        <w:t>Die Tätigkeit eines Stadtführers ist - vergleichbar mit einer unterrichtenden Tätigkeit an einer Volkshochschule und der Tätigkeit eines Museumsführers - wegen ihrer pädagogischen Ausrichtung grundsätzlich begünstigt. Zu prüfen ist jedoch insbesondere, ob die Tätigkeit im Auftrag oder im Dienst eine</w:t>
      </w:r>
      <w:bookmarkStart w:id="9" w:name="_Toc463861015"/>
      <w:bookmarkStart w:id="10" w:name="_Toc463861093"/>
      <w:bookmarkStart w:id="11" w:name="_Toc469057165"/>
      <w:bookmarkStart w:id="12" w:name="_Toc507659599"/>
      <w:bookmarkEnd w:id="2"/>
      <w:r>
        <w:t>s begünstigten Arbeitgebers erfolgt.</w:t>
      </w:r>
    </w:p>
    <w:p w14:paraId="4CBD2CD8" w14:textId="1D32E763" w:rsidR="001D59B2" w:rsidRPr="00EC1927" w:rsidRDefault="001D59B2" w:rsidP="00D80FE9">
      <w:pPr>
        <w:jc w:val="left"/>
        <w:rPr>
          <w:u w:val="single"/>
        </w:rPr>
      </w:pPr>
      <w:r w:rsidRPr="00EC1927">
        <w:rPr>
          <w:u w:val="single"/>
        </w:rPr>
        <w:t>Statisten/Komparsen bei Theaterauf</w:t>
      </w:r>
      <w:r w:rsidR="00D80FE9">
        <w:rPr>
          <w:u w:val="single"/>
        </w:rPr>
        <w:t>-</w:t>
      </w:r>
      <w:r w:rsidRPr="00EC1927">
        <w:rPr>
          <w:u w:val="single"/>
        </w:rPr>
        <w:t>führungen</w:t>
      </w:r>
    </w:p>
    <w:p w14:paraId="26805272" w14:textId="219A3247" w:rsidR="001D59B2" w:rsidRDefault="001D59B2" w:rsidP="001D59B2">
      <w:r>
        <w:t xml:space="preserve">Aufwandsentschädigungen für Statisten sind </w:t>
      </w:r>
      <w:r w:rsidR="008F21FA">
        <w:t xml:space="preserve">zwar </w:t>
      </w:r>
      <w:r>
        <w:t>grundsätzlich nicht begünstigt, da Statisten keine künstlerische Tätigkeit ausüben</w:t>
      </w:r>
      <w:r w:rsidR="00B741D3">
        <w:t xml:space="preserve">. Allerdings ist zu beachten, dass es </w:t>
      </w:r>
      <w:r w:rsidR="00B741D3">
        <w:lastRenderedPageBreak/>
        <w:t>sich grundsätzlich um eine Nebentät</w:t>
      </w:r>
      <w:r w:rsidR="008F21FA">
        <w:t>i</w:t>
      </w:r>
      <w:r w:rsidR="00B741D3">
        <w:t>gkeit ha</w:t>
      </w:r>
      <w:r w:rsidR="00EC1927">
        <w:t>ndelt. Von d</w:t>
      </w:r>
      <w:r w:rsidR="004D58DF">
        <w:t>a</w:t>
      </w:r>
      <w:r w:rsidR="00EC1927">
        <w:t xml:space="preserve">her kann </w:t>
      </w:r>
      <w:r>
        <w:t>eine künstlerische Tätigkeit auch dann vorliegen, wenn sie die eigentliche künstlerische (Haupt-)Tätigkeit unterstützt und ergänzt, sofern sie Teil des gesamten künstlerischen Geschehens ist.</w:t>
      </w:r>
      <w:r w:rsidR="00EC1927">
        <w:t xml:space="preserve"> Das heißt, a</w:t>
      </w:r>
      <w:r>
        <w:t xml:space="preserve">uch der Komparse kann - anders als z.B. ein Bühnenarbeiter - eine künstlerische Tätigkeit ausüben. Bei der Beurteilung kommt es </w:t>
      </w:r>
      <w:r w:rsidR="00EC1927">
        <w:t xml:space="preserve">aber </w:t>
      </w:r>
      <w:r>
        <w:t>auf die Umstände des Einzelfalles an.</w:t>
      </w:r>
    </w:p>
    <w:p w14:paraId="39286C7F" w14:textId="7B311F07" w:rsidR="00541D03" w:rsidRPr="009F223B" w:rsidRDefault="00541D03" w:rsidP="001D59B2">
      <w:pPr>
        <w:pStyle w:val="berschrift1"/>
      </w:pPr>
      <w:bookmarkStart w:id="13" w:name="_Toc518039870"/>
      <w:r w:rsidRPr="009F223B">
        <w:t>Weitere Informationen</w:t>
      </w:r>
      <w:bookmarkEnd w:id="9"/>
      <w:bookmarkEnd w:id="10"/>
      <w:bookmarkEnd w:id="11"/>
      <w:bookmarkEnd w:id="12"/>
      <w:bookmarkEnd w:id="13"/>
      <w:r w:rsidRPr="009F223B">
        <w:t xml:space="preserve"> </w:t>
      </w:r>
    </w:p>
    <w:p w14:paraId="5ED70639" w14:textId="77777777" w:rsidR="00541D03" w:rsidRPr="009F223B" w:rsidRDefault="00541D03" w:rsidP="00541D03">
      <w:r w:rsidRPr="009F223B">
        <w:t>Die vorstehenden Ausführungen und Beiträge sind nach bestem Wissen und Kenntnisstand verfasst worden. Es handelt sich nicht um abschließende Informationen und ersetzt keine Beratung. Eine Haftung für den Inhalt dieses Informationsbriefs kann daher nicht übernommen werden.</w:t>
      </w:r>
    </w:p>
    <w:p w14:paraId="56E71A02" w14:textId="77777777" w:rsidR="00FC15A7" w:rsidRDefault="00FC15A7" w:rsidP="00FC15A7">
      <w:r>
        <w:rPr>
          <w:rFonts w:cs="Arial"/>
          <w:sz w:val="20"/>
        </w:rPr>
        <w:t>Sollten Sie Fragen zu diesen oder anderen Punkten haben so wenden Sie sich bitte an uns.</w:t>
      </w:r>
    </w:p>
    <w:p w14:paraId="2561EF01" w14:textId="28502A85" w:rsidR="00983230" w:rsidRPr="00C16E6F" w:rsidRDefault="00983230"/>
    <w:sectPr w:rsidR="00983230" w:rsidRPr="00C16E6F" w:rsidSect="00A43CD8">
      <w:type w:val="continuous"/>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82BBF" w14:textId="77777777" w:rsidR="00DA0196" w:rsidRDefault="00DA0196">
      <w:r>
        <w:separator/>
      </w:r>
    </w:p>
  </w:endnote>
  <w:endnote w:type="continuationSeparator" w:id="0">
    <w:p w14:paraId="677AAFC4" w14:textId="77777777" w:rsidR="00DA0196" w:rsidRDefault="00DA0196">
      <w:r>
        <w:continuationSeparator/>
      </w:r>
    </w:p>
  </w:endnote>
  <w:endnote w:type="continuationNotice" w:id="1">
    <w:p w14:paraId="218F919A" w14:textId="77777777" w:rsidR="00DA0196" w:rsidRDefault="00DA0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C7859" w14:textId="77777777" w:rsidR="00706414" w:rsidRDefault="0070641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F3400" w14:textId="77777777" w:rsidR="0015065A" w:rsidRPr="0008304D" w:rsidRDefault="0015065A" w:rsidP="00AF35B6">
    <w:pPr>
      <w:pStyle w:val="Fuzeile"/>
      <w:jc w:val="center"/>
      <w:rPr>
        <w:sz w:val="12"/>
      </w:rPr>
    </w:pPr>
  </w:p>
  <w:p w14:paraId="0FDACA6E" w14:textId="77777777" w:rsidR="0015065A" w:rsidRPr="0008304D" w:rsidRDefault="0015065A" w:rsidP="00AF35B6">
    <w:pPr>
      <w:pStyle w:val="Fuzeile"/>
      <w:jc w:val="center"/>
    </w:pPr>
    <w:r>
      <w:rPr>
        <w:noProof/>
        <w:lang w:eastAsia="de-DE"/>
      </w:rPr>
      <mc:AlternateContent>
        <mc:Choice Requires="wps">
          <w:drawing>
            <wp:inline distT="0" distB="0" distL="0" distR="0" wp14:anchorId="6B866F94" wp14:editId="1F7372BC">
              <wp:extent cx="5933440" cy="54610"/>
              <wp:effectExtent l="38100" t="0" r="0" b="21590"/>
              <wp:docPr id="3" name="Flussdiagramm: Verzweigu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rgbClr val="0050EC"/>
                      </a:solidFill>
                      <a:ln w="9525">
                        <a:solidFill>
                          <a:srgbClr val="003399"/>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7124121E" id="_x0000_t110" coordsize="21600,21600" o:spt="110" path="m10800,l,10800,10800,21600,21600,10800xe">
              <v:stroke joinstyle="miter"/>
              <v:path gradientshapeok="t" o:connecttype="rect" textboxrect="5400,5400,16200,16200"/>
            </v:shapetype>
            <v:shape id="Flussdiagramm: Verzweigung 2"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" fillcolor="#0050ec" strokecolor="#039">
              <w10:anchorlock/>
            </v:shape>
          </w:pict>
        </mc:Fallback>
      </mc:AlternateContent>
    </w:r>
  </w:p>
  <w:p w14:paraId="57949D20" w14:textId="77777777" w:rsidR="0015065A" w:rsidRPr="0008304D" w:rsidRDefault="0015065A" w:rsidP="00AF35B6">
    <w:pPr>
      <w:pStyle w:val="Fuzeile"/>
      <w:jc w:val="center"/>
      <w:rPr>
        <w:rFonts w:cs="Arial"/>
      </w:rPr>
    </w:pPr>
    <w:r w:rsidRPr="0008304D">
      <w:rPr>
        <w:rFonts w:cs="Arial"/>
      </w:rPr>
      <w:fldChar w:fldCharType="begin"/>
    </w:r>
    <w:r w:rsidRPr="0008304D">
      <w:rPr>
        <w:rFonts w:cs="Arial"/>
      </w:rPr>
      <w:instrText xml:space="preserve"> PAGE    \* MERGEFORMAT </w:instrText>
    </w:r>
    <w:r w:rsidRPr="0008304D">
      <w:rPr>
        <w:rFonts w:cs="Arial"/>
      </w:rPr>
      <w:fldChar w:fldCharType="separate"/>
    </w:r>
    <w:r w:rsidR="00706414">
      <w:rPr>
        <w:rFonts w:cs="Arial"/>
        <w:noProof/>
      </w:rPr>
      <w:t>1</w:t>
    </w:r>
    <w:r w:rsidRPr="0008304D">
      <w:rPr>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9571D" w14:textId="77777777" w:rsidR="00706414" w:rsidRDefault="00706414">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932AF" w14:textId="77777777" w:rsidR="0015065A" w:rsidRPr="005D0114" w:rsidRDefault="0015065A" w:rsidP="00AF35B6">
    <w:pPr>
      <w:ind w:right="-851"/>
      <w:rPr>
        <w:rFonts w:cs="Arial"/>
        <w:sz w:val="20"/>
        <w:lang w:val="en-US"/>
      </w:rPr>
    </w:pPr>
    <w:r w:rsidRPr="002E009D">
      <w:rPr>
        <w:rFonts w:cs="Arial"/>
        <w:sz w:val="20"/>
        <w:lang w:val="en-US"/>
      </w:rPr>
      <w:t xml:space="preserve">© </w:t>
    </w:r>
    <w:r>
      <w:rPr>
        <w:rFonts w:cs="Arial"/>
        <w:sz w:val="20"/>
        <w:lang w:val="en-US"/>
      </w:rPr>
      <w:t>25.September 2014</w:t>
    </w:r>
    <w:r w:rsidRPr="002E009D">
      <w:rPr>
        <w:rFonts w:cs="Arial"/>
        <w:sz w:val="20"/>
        <w:lang w:val="en-US"/>
      </w:rPr>
      <w:t xml:space="preserve"> by Jörg</w:t>
    </w:r>
    <w:r>
      <w:rPr>
        <w:rFonts w:cs="Arial"/>
        <w:sz w:val="20"/>
        <w:lang w:val="en-US"/>
      </w:rPr>
      <w:t xml:space="preserve"> Romanowski, Berlin</w:t>
    </w:r>
    <w:r>
      <w:rPr>
        <w:rFonts w:cs="Arial"/>
        <w:sz w:val="20"/>
        <w:lang w:val="en-US"/>
      </w:rPr>
      <w:tab/>
    </w:r>
    <w:r>
      <w:rPr>
        <w:rFonts w:cs="Arial"/>
        <w:sz w:val="20"/>
        <w:lang w:val="en-US"/>
      </w:rPr>
      <w:tab/>
    </w:r>
    <w:r>
      <w:rPr>
        <w:rFonts w:cs="Arial"/>
        <w:sz w:val="20"/>
        <w:lang w:val="en-US"/>
      </w:rPr>
      <w:tab/>
    </w:r>
    <w:r>
      <w:rPr>
        <w:rFonts w:cs="Arial"/>
        <w:sz w:val="20"/>
        <w:lang w:val="en-US"/>
      </w:rPr>
      <w:tab/>
      <w:t xml:space="preserve">   </w:t>
    </w:r>
    <w:r w:rsidRPr="00832D00">
      <w:rPr>
        <w:rFonts w:cs="Arial"/>
        <w:noProof/>
        <w:sz w:val="20"/>
        <w:lang w:eastAsia="de-DE"/>
      </w:rPr>
      <w:drawing>
        <wp:inline distT="0" distB="0" distL="0" distR="0" wp14:anchorId="183B63D0" wp14:editId="3970D943">
          <wp:extent cx="786130" cy="512445"/>
          <wp:effectExtent l="0" t="0" r="0" b="0"/>
          <wp:docPr id="7" name="Grafik 7" descr="Beschreibung: \\.psf\Host\Volumes\grimnitz\Documents\gcug\Logo und Briefpapier\gc_BB_rz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chreibung: \\.psf\Host\Volumes\grimnitz\Documents\gcug\Logo und Briefpapier\gc_BB_rz_i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 cy="512445"/>
                  </a:xfrm>
                  <a:prstGeom prst="rect">
                    <a:avLst/>
                  </a:prstGeom>
                  <a:noFill/>
                  <a:ln>
                    <a:noFill/>
                  </a:ln>
                </pic:spPr>
              </pic:pic>
            </a:graphicData>
          </a:graphic>
        </wp:inline>
      </w:drawing>
    </w:r>
  </w:p>
  <w:p w14:paraId="677A2BA7" w14:textId="77777777" w:rsidR="0015065A" w:rsidRPr="00046DC5" w:rsidRDefault="0015065A">
    <w:pPr>
      <w:pStyle w:val="Fuzeile"/>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344F6" w14:textId="77777777" w:rsidR="0015065A" w:rsidRPr="005D0114" w:rsidRDefault="0015065A" w:rsidP="00AF35B6">
    <w:pPr>
      <w:ind w:right="-851"/>
      <w:rPr>
        <w:rFonts w:cs="Arial"/>
        <w:sz w:val="20"/>
        <w:lang w:val="en-US"/>
      </w:rPr>
    </w:pPr>
    <w:r w:rsidRPr="002E009D">
      <w:rPr>
        <w:rFonts w:cs="Arial"/>
        <w:sz w:val="20"/>
        <w:lang w:val="en-US"/>
      </w:rPr>
      <w:t xml:space="preserve">© </w:t>
    </w:r>
    <w:r>
      <w:rPr>
        <w:rFonts w:cs="Arial"/>
        <w:sz w:val="20"/>
        <w:lang w:val="en-US"/>
      </w:rPr>
      <w:t>25.September 2014</w:t>
    </w:r>
    <w:r w:rsidRPr="002E009D">
      <w:rPr>
        <w:rFonts w:cs="Arial"/>
        <w:sz w:val="20"/>
        <w:lang w:val="en-US"/>
      </w:rPr>
      <w:t xml:space="preserve"> by Jörg</w:t>
    </w:r>
    <w:r>
      <w:rPr>
        <w:rFonts w:cs="Arial"/>
        <w:sz w:val="20"/>
        <w:lang w:val="en-US"/>
      </w:rPr>
      <w:t xml:space="preserve"> Romanowski, Berlin</w:t>
    </w:r>
    <w:r>
      <w:rPr>
        <w:rFonts w:cs="Arial"/>
        <w:sz w:val="20"/>
        <w:lang w:val="en-US"/>
      </w:rPr>
      <w:tab/>
    </w:r>
    <w:r>
      <w:rPr>
        <w:rFonts w:cs="Arial"/>
        <w:sz w:val="20"/>
        <w:lang w:val="en-US"/>
      </w:rPr>
      <w:tab/>
    </w:r>
    <w:r>
      <w:rPr>
        <w:rFonts w:cs="Arial"/>
        <w:sz w:val="20"/>
        <w:lang w:val="en-US"/>
      </w:rPr>
      <w:tab/>
    </w:r>
    <w:r>
      <w:rPr>
        <w:rFonts w:cs="Arial"/>
        <w:sz w:val="20"/>
        <w:lang w:val="en-US"/>
      </w:rPr>
      <w:tab/>
      <w:t xml:space="preserve">   </w:t>
    </w:r>
    <w:r w:rsidRPr="00832D00">
      <w:rPr>
        <w:rFonts w:cs="Arial"/>
        <w:noProof/>
        <w:sz w:val="20"/>
        <w:lang w:eastAsia="de-DE"/>
      </w:rPr>
      <w:drawing>
        <wp:inline distT="0" distB="0" distL="0" distR="0" wp14:anchorId="0CA8B285" wp14:editId="3ED53FBB">
          <wp:extent cx="786130" cy="512445"/>
          <wp:effectExtent l="0" t="0" r="0" b="0"/>
          <wp:docPr id="10" name="Grafik 10" descr="Beschreibung: \\.psf\Host\Volumes\grimnitz\Documents\gcug\Logo und Briefpapier\gc_BB_rz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chreibung: \\.psf\Host\Volumes\grimnitz\Documents\gcug\Logo und Briefpapier\gc_BB_rz_i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 cy="512445"/>
                  </a:xfrm>
                  <a:prstGeom prst="rect">
                    <a:avLst/>
                  </a:prstGeom>
                  <a:noFill/>
                  <a:ln>
                    <a:noFill/>
                  </a:ln>
                </pic:spPr>
              </pic:pic>
            </a:graphicData>
          </a:graphic>
        </wp:inline>
      </w:drawing>
    </w:r>
  </w:p>
  <w:p w14:paraId="4F198A3A" w14:textId="77777777" w:rsidR="0015065A" w:rsidRPr="00046DC5" w:rsidRDefault="0015065A">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8FAA9" w14:textId="77777777" w:rsidR="00DA0196" w:rsidRDefault="00DA0196">
      <w:r>
        <w:separator/>
      </w:r>
    </w:p>
  </w:footnote>
  <w:footnote w:type="continuationSeparator" w:id="0">
    <w:p w14:paraId="345FA475" w14:textId="77777777" w:rsidR="00DA0196" w:rsidRDefault="00DA0196">
      <w:r>
        <w:continuationSeparator/>
      </w:r>
    </w:p>
  </w:footnote>
  <w:footnote w:type="continuationNotice" w:id="1">
    <w:p w14:paraId="0FC4352B" w14:textId="77777777" w:rsidR="00DA0196" w:rsidRDefault="00DA01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95546" w14:textId="77777777" w:rsidR="00706414" w:rsidRDefault="0070641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462C1" w14:textId="77777777" w:rsidR="00706414" w:rsidRDefault="00706414" w:rsidP="00706414">
    <w:pPr>
      <w:pStyle w:val="Kopfzeile"/>
    </w:pPr>
    <w:r>
      <w:t xml:space="preserve">                                                                                                                            </w:t>
    </w:r>
    <w:r>
      <w:rPr>
        <w:noProof/>
        <w:lang w:eastAsia="de-DE"/>
      </w:rPr>
      <w:drawing>
        <wp:inline distT="0" distB="0" distL="0" distR="0" wp14:anchorId="761D51F0" wp14:editId="5DDD5D7F">
          <wp:extent cx="1914525" cy="409575"/>
          <wp:effectExtent l="0" t="0" r="9525" b="9525"/>
          <wp:docPr id="5" name="Grafik 5" descr="Logo%20Müller%20Steuerberatung%20rgb-farb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20Müller%20Steuerberatung%20rgb-farb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09575"/>
                  </a:xfrm>
                  <a:prstGeom prst="rect">
                    <a:avLst/>
                  </a:prstGeom>
                  <a:noFill/>
                  <a:ln>
                    <a:noFill/>
                  </a:ln>
                </pic:spPr>
              </pic:pic>
            </a:graphicData>
          </a:graphic>
        </wp:inline>
      </w:drawing>
    </w:r>
  </w:p>
  <w:p w14:paraId="445606ED" w14:textId="2248F7F9" w:rsidR="00FC15A7" w:rsidRDefault="00FC15A7" w:rsidP="00FC15A7">
    <w:pPr>
      <w:pStyle w:val="Kopfzeile"/>
    </w:pPr>
    <w:r>
      <w:rPr>
        <w:noProof/>
        <w:lang w:eastAsia="de-DE"/>
      </w:rPr>
      <w:t xml:space="preserve">                                                                                                                     </w:t>
    </w:r>
    <w:bookmarkStart w:id="0" w:name="_GoBack"/>
    <w:bookmarkEnd w:id="0"/>
    <w:r>
      <w:rPr>
        <w:noProof/>
        <w:lang w:eastAsia="de-DE"/>
      </w:rPr>
      <w:t xml:space="preserve">       </w:t>
    </w:r>
  </w:p>
  <w:p w14:paraId="62F5FA4E" w14:textId="1C789676" w:rsidR="0015065A" w:rsidRDefault="00FC15A7" w:rsidP="00AF35B6">
    <w:pPr>
      <w:pStyle w:val="Kopfzeile"/>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185C2" w14:textId="77777777" w:rsidR="00706414" w:rsidRDefault="00706414">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9"/>
      <w:gridCol w:w="1985"/>
      <w:gridCol w:w="347"/>
    </w:tblGrid>
    <w:tr w:rsidR="0015065A" w:rsidRPr="00884D19" w14:paraId="3F84727F" w14:textId="77777777" w:rsidTr="00AF35B6">
      <w:trPr>
        <w:cantSplit/>
      </w:trPr>
      <w:tc>
        <w:tcPr>
          <w:tcW w:w="8711" w:type="dxa"/>
          <w:gridSpan w:val="3"/>
          <w:tcBorders>
            <w:top w:val="nil"/>
            <w:left w:val="nil"/>
            <w:bottom w:val="single" w:sz="4" w:space="0" w:color="auto"/>
            <w:right w:val="nil"/>
          </w:tcBorders>
        </w:tcPr>
        <w:p w14:paraId="2E52F4C2" w14:textId="77777777" w:rsidR="0015065A" w:rsidRPr="00884D19" w:rsidRDefault="0015065A" w:rsidP="00AF35B6">
          <w:pPr>
            <w:pStyle w:val="Kopfzeile"/>
            <w:ind w:left="-1063" w:right="360" w:firstLine="1063"/>
            <w:rPr>
              <w:rFonts w:ascii="Calibri" w:hAnsi="Calibri"/>
              <w:spacing w:val="28"/>
            </w:rPr>
          </w:pPr>
          <w:r w:rsidRPr="00832D00">
            <w:rPr>
              <w:rFonts w:ascii="Calibri" w:hAnsi="Calibri"/>
              <w:noProof/>
              <w:spacing w:val="28"/>
              <w:lang w:eastAsia="de-DE"/>
            </w:rPr>
            <w:drawing>
              <wp:inline distT="0" distB="0" distL="0" distR="0" wp14:anchorId="2B05546A" wp14:editId="0684303E">
                <wp:extent cx="4129405" cy="751205"/>
                <wp:effectExtent l="0" t="0" r="0" b="0"/>
                <wp:docPr id="6" name="Grafik 6" descr="Beschreibung: \\.psf\Host\Volumes\grimnitz\Documents\gcug\Logo und Briefpapier\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Beschreibung: \\.psf\Host\Volumes\grimnitz\Documents\gcug\Logo und Briefpapier\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9405" cy="751205"/>
                        </a:xfrm>
                        <a:prstGeom prst="rect">
                          <a:avLst/>
                        </a:prstGeom>
                        <a:noFill/>
                        <a:ln>
                          <a:noFill/>
                        </a:ln>
                      </pic:spPr>
                    </pic:pic>
                  </a:graphicData>
                </a:graphic>
              </wp:inline>
            </w:drawing>
          </w:r>
        </w:p>
      </w:tc>
    </w:tr>
    <w:tr w:rsidR="0015065A" w:rsidRPr="005749C8" w14:paraId="42A1A47B" w14:textId="77777777" w:rsidTr="00AF35B6">
      <w:trPr>
        <w:gridAfter w:val="1"/>
        <w:wAfter w:w="347" w:type="dxa"/>
        <w:cantSplit/>
      </w:trPr>
      <w:tc>
        <w:tcPr>
          <w:tcW w:w="6379" w:type="dxa"/>
          <w:tcBorders>
            <w:top w:val="single" w:sz="4" w:space="0" w:color="auto"/>
            <w:left w:val="nil"/>
            <w:bottom w:val="nil"/>
            <w:right w:val="nil"/>
          </w:tcBorders>
        </w:tcPr>
        <w:p w14:paraId="57293891" w14:textId="77777777" w:rsidR="0015065A" w:rsidRPr="00A12655" w:rsidRDefault="0015065A" w:rsidP="00AF35B6">
          <w:pPr>
            <w:ind w:right="497" w:firstLine="214"/>
            <w:rPr>
              <w:b/>
              <w:i/>
            </w:rPr>
          </w:pPr>
          <w:r>
            <w:rPr>
              <w:b/>
              <w:i/>
            </w:rPr>
            <w:t>Mandanteninformationsbrief 09.2014 - Mindestlohn</w:t>
          </w:r>
        </w:p>
      </w:tc>
      <w:tc>
        <w:tcPr>
          <w:tcW w:w="1985" w:type="dxa"/>
          <w:tcBorders>
            <w:top w:val="single" w:sz="4" w:space="0" w:color="auto"/>
            <w:left w:val="nil"/>
            <w:bottom w:val="nil"/>
            <w:right w:val="nil"/>
          </w:tcBorders>
        </w:tcPr>
        <w:p w14:paraId="636C08FC" w14:textId="77777777" w:rsidR="0015065A" w:rsidRPr="005749C8" w:rsidRDefault="0015065A" w:rsidP="00AF35B6"/>
      </w:tc>
    </w:tr>
  </w:tbl>
  <w:p w14:paraId="4E2FE2F7" w14:textId="77777777" w:rsidR="0015065A" w:rsidRDefault="0015065A">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9"/>
      <w:gridCol w:w="1985"/>
      <w:gridCol w:w="347"/>
    </w:tblGrid>
    <w:tr w:rsidR="0015065A" w:rsidRPr="00884D19" w14:paraId="6442FE9D" w14:textId="77777777" w:rsidTr="00AF35B6">
      <w:trPr>
        <w:cantSplit/>
      </w:trPr>
      <w:tc>
        <w:tcPr>
          <w:tcW w:w="8711" w:type="dxa"/>
          <w:gridSpan w:val="3"/>
          <w:tcBorders>
            <w:top w:val="nil"/>
            <w:left w:val="nil"/>
            <w:bottom w:val="single" w:sz="4" w:space="0" w:color="auto"/>
            <w:right w:val="nil"/>
          </w:tcBorders>
        </w:tcPr>
        <w:p w14:paraId="210BFF04" w14:textId="77777777" w:rsidR="0015065A" w:rsidRPr="00884D19" w:rsidRDefault="0015065A" w:rsidP="00AF35B6">
          <w:pPr>
            <w:pStyle w:val="Kopfzeile"/>
            <w:ind w:left="-1063" w:right="360" w:firstLine="1063"/>
            <w:rPr>
              <w:rFonts w:ascii="Calibri" w:hAnsi="Calibri"/>
              <w:spacing w:val="28"/>
            </w:rPr>
          </w:pPr>
          <w:r w:rsidRPr="00832D00">
            <w:rPr>
              <w:rFonts w:ascii="Calibri" w:hAnsi="Calibri"/>
              <w:noProof/>
              <w:spacing w:val="28"/>
              <w:lang w:eastAsia="de-DE"/>
            </w:rPr>
            <w:drawing>
              <wp:inline distT="0" distB="0" distL="0" distR="0" wp14:anchorId="394BA9BF" wp14:editId="26BBC607">
                <wp:extent cx="4129405" cy="751205"/>
                <wp:effectExtent l="0" t="0" r="0" b="0"/>
                <wp:docPr id="9" name="Grafik 9" descr="Beschreibung: \\.psf\Host\Volumes\grimnitz\Documents\gcug\Logo und Briefpapier\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Beschreibung: \\.psf\Host\Volumes\grimnitz\Documents\gcug\Logo und Briefpapier\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9405" cy="751205"/>
                        </a:xfrm>
                        <a:prstGeom prst="rect">
                          <a:avLst/>
                        </a:prstGeom>
                        <a:noFill/>
                        <a:ln>
                          <a:noFill/>
                        </a:ln>
                      </pic:spPr>
                    </pic:pic>
                  </a:graphicData>
                </a:graphic>
              </wp:inline>
            </w:drawing>
          </w:r>
        </w:p>
      </w:tc>
    </w:tr>
    <w:tr w:rsidR="0015065A" w:rsidRPr="005749C8" w14:paraId="06854312" w14:textId="77777777" w:rsidTr="00AF35B6">
      <w:trPr>
        <w:gridAfter w:val="1"/>
        <w:wAfter w:w="347" w:type="dxa"/>
        <w:cantSplit/>
      </w:trPr>
      <w:tc>
        <w:tcPr>
          <w:tcW w:w="6379" w:type="dxa"/>
          <w:tcBorders>
            <w:top w:val="single" w:sz="4" w:space="0" w:color="auto"/>
            <w:left w:val="nil"/>
            <w:bottom w:val="nil"/>
            <w:right w:val="nil"/>
          </w:tcBorders>
        </w:tcPr>
        <w:p w14:paraId="792EB5C8" w14:textId="77777777" w:rsidR="0015065A" w:rsidRPr="00A12655" w:rsidRDefault="0015065A" w:rsidP="00AF35B6">
          <w:pPr>
            <w:ind w:right="497" w:firstLine="214"/>
            <w:rPr>
              <w:b/>
              <w:i/>
            </w:rPr>
          </w:pPr>
          <w:r>
            <w:rPr>
              <w:b/>
              <w:i/>
            </w:rPr>
            <w:t>Mandanteninformationsbrief 09.2014 - Mindestlohn</w:t>
          </w:r>
        </w:p>
      </w:tc>
      <w:tc>
        <w:tcPr>
          <w:tcW w:w="1985" w:type="dxa"/>
          <w:tcBorders>
            <w:top w:val="single" w:sz="4" w:space="0" w:color="auto"/>
            <w:left w:val="nil"/>
            <w:bottom w:val="nil"/>
            <w:right w:val="nil"/>
          </w:tcBorders>
        </w:tcPr>
        <w:p w14:paraId="1000B750" w14:textId="77777777" w:rsidR="0015065A" w:rsidRPr="005749C8" w:rsidRDefault="0015065A" w:rsidP="00AF35B6"/>
      </w:tc>
    </w:tr>
  </w:tbl>
  <w:p w14:paraId="416AB632" w14:textId="77777777" w:rsidR="0015065A" w:rsidRDefault="0015065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51F"/>
    <w:multiLevelType w:val="multilevel"/>
    <w:tmpl w:val="9DDEDECE"/>
    <w:styleLink w:val="AufzhlungDownload"/>
    <w:lvl w:ilvl="0">
      <w:start w:val="1"/>
      <w:numFmt w:val="bullet"/>
      <w:lvlText w:val="-"/>
      <w:lvlJc w:val="left"/>
      <w:pPr>
        <w:ind w:left="720" w:hanging="360"/>
      </w:pPr>
      <w:rPr>
        <w:rFonts w:ascii="Arial" w:hAnsi="Aria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15F5687"/>
    <w:multiLevelType w:val="hybridMultilevel"/>
    <w:tmpl w:val="952E7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B77499"/>
    <w:multiLevelType w:val="hybridMultilevel"/>
    <w:tmpl w:val="D6922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9121D59"/>
    <w:multiLevelType w:val="hybridMultilevel"/>
    <w:tmpl w:val="6A386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B847438"/>
    <w:multiLevelType w:val="hybridMultilevel"/>
    <w:tmpl w:val="D50CDDE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0D121F75"/>
    <w:multiLevelType w:val="hybridMultilevel"/>
    <w:tmpl w:val="E1F03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F8F268C"/>
    <w:multiLevelType w:val="hybridMultilevel"/>
    <w:tmpl w:val="645A68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FD16769"/>
    <w:multiLevelType w:val="hybridMultilevel"/>
    <w:tmpl w:val="0DDAB3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61B471C"/>
    <w:multiLevelType w:val="hybridMultilevel"/>
    <w:tmpl w:val="89DC2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6574584"/>
    <w:multiLevelType w:val="hybridMultilevel"/>
    <w:tmpl w:val="645A68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6B54EB1"/>
    <w:multiLevelType w:val="hybridMultilevel"/>
    <w:tmpl w:val="5450F678"/>
    <w:lvl w:ilvl="0" w:tplc="B472162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83861EA"/>
    <w:multiLevelType w:val="hybridMultilevel"/>
    <w:tmpl w:val="544448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BA7114F"/>
    <w:multiLevelType w:val="hybridMultilevel"/>
    <w:tmpl w:val="E4D09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DC67685"/>
    <w:multiLevelType w:val="multilevel"/>
    <w:tmpl w:val="1B92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433236"/>
    <w:multiLevelType w:val="hybridMultilevel"/>
    <w:tmpl w:val="2A00C8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344148B"/>
    <w:multiLevelType w:val="hybridMultilevel"/>
    <w:tmpl w:val="BDB2D7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5C47EF5"/>
    <w:multiLevelType w:val="hybridMultilevel"/>
    <w:tmpl w:val="45A2A6B0"/>
    <w:lvl w:ilvl="0" w:tplc="7AA223DE">
      <w:start w:val="1"/>
      <w:numFmt w:val="decimalZero"/>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6930299"/>
    <w:multiLevelType w:val="hybridMultilevel"/>
    <w:tmpl w:val="C53C3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D3B61B5"/>
    <w:multiLevelType w:val="hybridMultilevel"/>
    <w:tmpl w:val="36C0F5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F9D55E2"/>
    <w:multiLevelType w:val="hybridMultilevel"/>
    <w:tmpl w:val="EF72A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3296957"/>
    <w:multiLevelType w:val="hybridMultilevel"/>
    <w:tmpl w:val="8B20BF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5AB286D"/>
    <w:multiLevelType w:val="hybridMultilevel"/>
    <w:tmpl w:val="4CE696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66E603F"/>
    <w:multiLevelType w:val="hybridMultilevel"/>
    <w:tmpl w:val="2DF8FB28"/>
    <w:lvl w:ilvl="0" w:tplc="0B3E8486">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nsid w:val="36D07CAE"/>
    <w:multiLevelType w:val="hybridMultilevel"/>
    <w:tmpl w:val="D9867E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8BE0A54"/>
    <w:multiLevelType w:val="hybridMultilevel"/>
    <w:tmpl w:val="61C4FF5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3A6B622C"/>
    <w:multiLevelType w:val="hybridMultilevel"/>
    <w:tmpl w:val="D730DB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B4750A9"/>
    <w:multiLevelType w:val="hybridMultilevel"/>
    <w:tmpl w:val="500AF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3B591501"/>
    <w:multiLevelType w:val="multilevel"/>
    <w:tmpl w:val="04070025"/>
    <w:lvl w:ilvl="0">
      <w:start w:val="1"/>
      <w:numFmt w:val="decimal"/>
      <w:pStyle w:val="berschrift1"/>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8">
    <w:nsid w:val="3C217194"/>
    <w:multiLevelType w:val="hybridMultilevel"/>
    <w:tmpl w:val="1EAE6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3CB824FE"/>
    <w:multiLevelType w:val="hybridMultilevel"/>
    <w:tmpl w:val="9816F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3CF42F85"/>
    <w:multiLevelType w:val="hybridMultilevel"/>
    <w:tmpl w:val="8E6402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3D6F09D3"/>
    <w:multiLevelType w:val="multilevel"/>
    <w:tmpl w:val="481A9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F4B5E0D"/>
    <w:multiLevelType w:val="hybridMultilevel"/>
    <w:tmpl w:val="BF3274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47776547"/>
    <w:multiLevelType w:val="hybridMultilevel"/>
    <w:tmpl w:val="3140E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47901EEB"/>
    <w:multiLevelType w:val="hybridMultilevel"/>
    <w:tmpl w:val="B87E3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4EB6678E"/>
    <w:multiLevelType w:val="hybridMultilevel"/>
    <w:tmpl w:val="642AFF6A"/>
    <w:lvl w:ilvl="0" w:tplc="98CC43F4">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5B5F12E7"/>
    <w:multiLevelType w:val="hybridMultilevel"/>
    <w:tmpl w:val="9B78C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C154D17"/>
    <w:multiLevelType w:val="hybridMultilevel"/>
    <w:tmpl w:val="71F2A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5D72362A"/>
    <w:multiLevelType w:val="hybridMultilevel"/>
    <w:tmpl w:val="46EE6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05261CC"/>
    <w:multiLevelType w:val="hybridMultilevel"/>
    <w:tmpl w:val="2E3E4C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85C5A00"/>
    <w:multiLevelType w:val="hybridMultilevel"/>
    <w:tmpl w:val="D2DAA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A940AF1"/>
    <w:multiLevelType w:val="hybridMultilevel"/>
    <w:tmpl w:val="CA04B4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6CD50251"/>
    <w:multiLevelType w:val="hybridMultilevel"/>
    <w:tmpl w:val="10A28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3961DA7"/>
    <w:multiLevelType w:val="hybridMultilevel"/>
    <w:tmpl w:val="7B62F1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27"/>
  </w:num>
  <w:num w:numId="4">
    <w:abstractNumId w:val="35"/>
  </w:num>
  <w:num w:numId="5">
    <w:abstractNumId w:val="36"/>
  </w:num>
  <w:num w:numId="6">
    <w:abstractNumId w:val="11"/>
  </w:num>
  <w:num w:numId="7">
    <w:abstractNumId w:val="2"/>
  </w:num>
  <w:num w:numId="8">
    <w:abstractNumId w:val="10"/>
  </w:num>
  <w:num w:numId="9">
    <w:abstractNumId w:val="22"/>
  </w:num>
  <w:num w:numId="10">
    <w:abstractNumId w:val="23"/>
  </w:num>
  <w:num w:numId="11">
    <w:abstractNumId w:val="32"/>
  </w:num>
  <w:num w:numId="12">
    <w:abstractNumId w:val="38"/>
  </w:num>
  <w:num w:numId="13">
    <w:abstractNumId w:val="7"/>
  </w:num>
  <w:num w:numId="14">
    <w:abstractNumId w:val="43"/>
  </w:num>
  <w:num w:numId="15">
    <w:abstractNumId w:val="33"/>
  </w:num>
  <w:num w:numId="16">
    <w:abstractNumId w:val="31"/>
  </w:num>
  <w:num w:numId="17">
    <w:abstractNumId w:val="13"/>
  </w:num>
  <w:num w:numId="18">
    <w:abstractNumId w:val="20"/>
  </w:num>
  <w:num w:numId="19">
    <w:abstractNumId w:val="18"/>
  </w:num>
  <w:num w:numId="20">
    <w:abstractNumId w:val="25"/>
  </w:num>
  <w:num w:numId="21">
    <w:abstractNumId w:val="37"/>
  </w:num>
  <w:num w:numId="22">
    <w:abstractNumId w:val="14"/>
  </w:num>
  <w:num w:numId="23">
    <w:abstractNumId w:val="21"/>
  </w:num>
  <w:num w:numId="24">
    <w:abstractNumId w:val="15"/>
  </w:num>
  <w:num w:numId="25">
    <w:abstractNumId w:val="8"/>
  </w:num>
  <w:num w:numId="26">
    <w:abstractNumId w:val="28"/>
  </w:num>
  <w:num w:numId="27">
    <w:abstractNumId w:val="40"/>
  </w:num>
  <w:num w:numId="28">
    <w:abstractNumId w:val="12"/>
  </w:num>
  <w:num w:numId="29">
    <w:abstractNumId w:val="26"/>
  </w:num>
  <w:num w:numId="30">
    <w:abstractNumId w:val="19"/>
  </w:num>
  <w:num w:numId="31">
    <w:abstractNumId w:val="29"/>
  </w:num>
  <w:num w:numId="32">
    <w:abstractNumId w:val="39"/>
  </w:num>
  <w:num w:numId="33">
    <w:abstractNumId w:val="30"/>
  </w:num>
  <w:num w:numId="34">
    <w:abstractNumId w:val="16"/>
  </w:num>
  <w:num w:numId="35">
    <w:abstractNumId w:val="3"/>
  </w:num>
  <w:num w:numId="36">
    <w:abstractNumId w:val="4"/>
  </w:num>
  <w:num w:numId="37">
    <w:abstractNumId w:val="27"/>
  </w:num>
  <w:num w:numId="38">
    <w:abstractNumId w:val="6"/>
  </w:num>
  <w:num w:numId="39">
    <w:abstractNumId w:val="9"/>
  </w:num>
  <w:num w:numId="40">
    <w:abstractNumId w:val="42"/>
  </w:num>
  <w:num w:numId="41">
    <w:abstractNumId w:val="5"/>
  </w:num>
  <w:num w:numId="42">
    <w:abstractNumId w:val="1"/>
  </w:num>
  <w:num w:numId="43">
    <w:abstractNumId w:val="17"/>
  </w:num>
  <w:num w:numId="44">
    <w:abstractNumId w:val="34"/>
  </w:num>
  <w:num w:numId="45">
    <w:abstractNumId w:val="4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85"/>
    <w:rsid w:val="000009E2"/>
    <w:rsid w:val="0000380F"/>
    <w:rsid w:val="00004186"/>
    <w:rsid w:val="000056BA"/>
    <w:rsid w:val="00006F16"/>
    <w:rsid w:val="0001085B"/>
    <w:rsid w:val="0001224D"/>
    <w:rsid w:val="00017249"/>
    <w:rsid w:val="00020CA9"/>
    <w:rsid w:val="00021DC7"/>
    <w:rsid w:val="00024D70"/>
    <w:rsid w:val="00031EE6"/>
    <w:rsid w:val="000327C0"/>
    <w:rsid w:val="0003311F"/>
    <w:rsid w:val="00033319"/>
    <w:rsid w:val="00035B4A"/>
    <w:rsid w:val="00042304"/>
    <w:rsid w:val="00042501"/>
    <w:rsid w:val="0005145A"/>
    <w:rsid w:val="0005164D"/>
    <w:rsid w:val="000549CF"/>
    <w:rsid w:val="00063E02"/>
    <w:rsid w:val="00064667"/>
    <w:rsid w:val="00067BB6"/>
    <w:rsid w:val="000709B8"/>
    <w:rsid w:val="00072752"/>
    <w:rsid w:val="00075CC0"/>
    <w:rsid w:val="000762FF"/>
    <w:rsid w:val="00077F1C"/>
    <w:rsid w:val="00082177"/>
    <w:rsid w:val="00082942"/>
    <w:rsid w:val="00083C7C"/>
    <w:rsid w:val="000849F7"/>
    <w:rsid w:val="00093544"/>
    <w:rsid w:val="00096045"/>
    <w:rsid w:val="000A4A26"/>
    <w:rsid w:val="000B26AD"/>
    <w:rsid w:val="000B36BE"/>
    <w:rsid w:val="000B470B"/>
    <w:rsid w:val="000B56E2"/>
    <w:rsid w:val="000B7AB4"/>
    <w:rsid w:val="000C0B38"/>
    <w:rsid w:val="000C3016"/>
    <w:rsid w:val="000C378F"/>
    <w:rsid w:val="000C4974"/>
    <w:rsid w:val="000C6D76"/>
    <w:rsid w:val="000C75B9"/>
    <w:rsid w:val="000D4AF3"/>
    <w:rsid w:val="000D54F0"/>
    <w:rsid w:val="000D6393"/>
    <w:rsid w:val="000E2E11"/>
    <w:rsid w:val="000E2FC0"/>
    <w:rsid w:val="000E47F6"/>
    <w:rsid w:val="000E4A41"/>
    <w:rsid w:val="000F40E3"/>
    <w:rsid w:val="000F418E"/>
    <w:rsid w:val="001000C1"/>
    <w:rsid w:val="001028ED"/>
    <w:rsid w:val="00105992"/>
    <w:rsid w:val="00105B2D"/>
    <w:rsid w:val="001116DA"/>
    <w:rsid w:val="001201F1"/>
    <w:rsid w:val="00121176"/>
    <w:rsid w:val="0012609A"/>
    <w:rsid w:val="00127C4A"/>
    <w:rsid w:val="00127E0E"/>
    <w:rsid w:val="00131979"/>
    <w:rsid w:val="00136AAA"/>
    <w:rsid w:val="00137CD2"/>
    <w:rsid w:val="00140143"/>
    <w:rsid w:val="001454F8"/>
    <w:rsid w:val="0015065A"/>
    <w:rsid w:val="00151320"/>
    <w:rsid w:val="00154A4E"/>
    <w:rsid w:val="00155FC2"/>
    <w:rsid w:val="00160520"/>
    <w:rsid w:val="00167EFE"/>
    <w:rsid w:val="001731BC"/>
    <w:rsid w:val="001732BF"/>
    <w:rsid w:val="00173A98"/>
    <w:rsid w:val="00176FBB"/>
    <w:rsid w:val="00180FDC"/>
    <w:rsid w:val="001824E2"/>
    <w:rsid w:val="001968CA"/>
    <w:rsid w:val="00197301"/>
    <w:rsid w:val="00197707"/>
    <w:rsid w:val="001A1AD2"/>
    <w:rsid w:val="001A4B64"/>
    <w:rsid w:val="001A6708"/>
    <w:rsid w:val="001A7037"/>
    <w:rsid w:val="001A7458"/>
    <w:rsid w:val="001B0EBE"/>
    <w:rsid w:val="001B4BBB"/>
    <w:rsid w:val="001C539D"/>
    <w:rsid w:val="001C7BB5"/>
    <w:rsid w:val="001D49B3"/>
    <w:rsid w:val="001D552A"/>
    <w:rsid w:val="001D59B2"/>
    <w:rsid w:val="001E713D"/>
    <w:rsid w:val="001F4EF0"/>
    <w:rsid w:val="001F69C2"/>
    <w:rsid w:val="00200A22"/>
    <w:rsid w:val="00200F61"/>
    <w:rsid w:val="0020311E"/>
    <w:rsid w:val="0020529E"/>
    <w:rsid w:val="00206836"/>
    <w:rsid w:val="00213B1A"/>
    <w:rsid w:val="002154C1"/>
    <w:rsid w:val="002236A8"/>
    <w:rsid w:val="00224C31"/>
    <w:rsid w:val="00224CFA"/>
    <w:rsid w:val="00225621"/>
    <w:rsid w:val="00234F74"/>
    <w:rsid w:val="00236E10"/>
    <w:rsid w:val="00236E39"/>
    <w:rsid w:val="002456B7"/>
    <w:rsid w:val="002462C6"/>
    <w:rsid w:val="002517F3"/>
    <w:rsid w:val="0025767A"/>
    <w:rsid w:val="00261D7A"/>
    <w:rsid w:val="00262269"/>
    <w:rsid w:val="00263658"/>
    <w:rsid w:val="0026448D"/>
    <w:rsid w:val="00267B23"/>
    <w:rsid w:val="002704AD"/>
    <w:rsid w:val="002740C2"/>
    <w:rsid w:val="00275FAC"/>
    <w:rsid w:val="002800EC"/>
    <w:rsid w:val="00282790"/>
    <w:rsid w:val="00285099"/>
    <w:rsid w:val="0029318C"/>
    <w:rsid w:val="002946D2"/>
    <w:rsid w:val="00294CBE"/>
    <w:rsid w:val="00295CD5"/>
    <w:rsid w:val="002973D0"/>
    <w:rsid w:val="00297637"/>
    <w:rsid w:val="002B224B"/>
    <w:rsid w:val="002B310F"/>
    <w:rsid w:val="002B35E4"/>
    <w:rsid w:val="002B6557"/>
    <w:rsid w:val="002B6DC0"/>
    <w:rsid w:val="002C2F7E"/>
    <w:rsid w:val="002C7BAC"/>
    <w:rsid w:val="002E35A2"/>
    <w:rsid w:val="002E6A4A"/>
    <w:rsid w:val="002F488E"/>
    <w:rsid w:val="0030075C"/>
    <w:rsid w:val="00301517"/>
    <w:rsid w:val="00302E9B"/>
    <w:rsid w:val="00304CE4"/>
    <w:rsid w:val="00306F37"/>
    <w:rsid w:val="00312B57"/>
    <w:rsid w:val="00320B4B"/>
    <w:rsid w:val="003214A2"/>
    <w:rsid w:val="00321C6E"/>
    <w:rsid w:val="0032311C"/>
    <w:rsid w:val="00324CFF"/>
    <w:rsid w:val="0032599C"/>
    <w:rsid w:val="00326353"/>
    <w:rsid w:val="00326743"/>
    <w:rsid w:val="00330069"/>
    <w:rsid w:val="003313F1"/>
    <w:rsid w:val="003322C7"/>
    <w:rsid w:val="003330A4"/>
    <w:rsid w:val="003344E1"/>
    <w:rsid w:val="00336311"/>
    <w:rsid w:val="0034509D"/>
    <w:rsid w:val="00346430"/>
    <w:rsid w:val="00346FA6"/>
    <w:rsid w:val="0035190D"/>
    <w:rsid w:val="00352477"/>
    <w:rsid w:val="003546F5"/>
    <w:rsid w:val="0035638F"/>
    <w:rsid w:val="00361873"/>
    <w:rsid w:val="00363EE5"/>
    <w:rsid w:val="00366C24"/>
    <w:rsid w:val="00375FFE"/>
    <w:rsid w:val="0038408F"/>
    <w:rsid w:val="0039281F"/>
    <w:rsid w:val="00394529"/>
    <w:rsid w:val="003A082B"/>
    <w:rsid w:val="003A4016"/>
    <w:rsid w:val="003A5DF8"/>
    <w:rsid w:val="003A7FAB"/>
    <w:rsid w:val="003B0C41"/>
    <w:rsid w:val="003B27F6"/>
    <w:rsid w:val="003B6450"/>
    <w:rsid w:val="003B771C"/>
    <w:rsid w:val="003C1562"/>
    <w:rsid w:val="003C2A35"/>
    <w:rsid w:val="003C7D32"/>
    <w:rsid w:val="003D0628"/>
    <w:rsid w:val="003D2516"/>
    <w:rsid w:val="003D4AFA"/>
    <w:rsid w:val="003D7B2B"/>
    <w:rsid w:val="003E01BD"/>
    <w:rsid w:val="003E3CB3"/>
    <w:rsid w:val="003E4020"/>
    <w:rsid w:val="003E4A33"/>
    <w:rsid w:val="003E6D58"/>
    <w:rsid w:val="003F07ED"/>
    <w:rsid w:val="003F2596"/>
    <w:rsid w:val="003F2A98"/>
    <w:rsid w:val="003F2DCB"/>
    <w:rsid w:val="003F362E"/>
    <w:rsid w:val="003F6034"/>
    <w:rsid w:val="003F6E1B"/>
    <w:rsid w:val="00400678"/>
    <w:rsid w:val="00404AC4"/>
    <w:rsid w:val="00405DAD"/>
    <w:rsid w:val="00407A06"/>
    <w:rsid w:val="00410C86"/>
    <w:rsid w:val="00411F05"/>
    <w:rsid w:val="00412EAF"/>
    <w:rsid w:val="00414F33"/>
    <w:rsid w:val="00421F41"/>
    <w:rsid w:val="00422D03"/>
    <w:rsid w:val="004301F4"/>
    <w:rsid w:val="0043523B"/>
    <w:rsid w:val="00436FF2"/>
    <w:rsid w:val="00437E14"/>
    <w:rsid w:val="00441D31"/>
    <w:rsid w:val="004458C3"/>
    <w:rsid w:val="00447307"/>
    <w:rsid w:val="004549F5"/>
    <w:rsid w:val="00454D04"/>
    <w:rsid w:val="00461F89"/>
    <w:rsid w:val="00463B6E"/>
    <w:rsid w:val="00472ED4"/>
    <w:rsid w:val="0047664E"/>
    <w:rsid w:val="00477C32"/>
    <w:rsid w:val="00480F30"/>
    <w:rsid w:val="0048216E"/>
    <w:rsid w:val="0048455B"/>
    <w:rsid w:val="00495CF1"/>
    <w:rsid w:val="00497296"/>
    <w:rsid w:val="00497352"/>
    <w:rsid w:val="00497B03"/>
    <w:rsid w:val="004A1DC2"/>
    <w:rsid w:val="004A3432"/>
    <w:rsid w:val="004A455F"/>
    <w:rsid w:val="004B0963"/>
    <w:rsid w:val="004B1646"/>
    <w:rsid w:val="004B4A54"/>
    <w:rsid w:val="004B4D26"/>
    <w:rsid w:val="004B5266"/>
    <w:rsid w:val="004B7B5A"/>
    <w:rsid w:val="004D0E31"/>
    <w:rsid w:val="004D5276"/>
    <w:rsid w:val="004D58DF"/>
    <w:rsid w:val="004D78B8"/>
    <w:rsid w:val="004E3DD0"/>
    <w:rsid w:val="004E5395"/>
    <w:rsid w:val="004E559C"/>
    <w:rsid w:val="004E6EDA"/>
    <w:rsid w:val="004F27A4"/>
    <w:rsid w:val="004F6D81"/>
    <w:rsid w:val="00500909"/>
    <w:rsid w:val="0050177C"/>
    <w:rsid w:val="00503CD4"/>
    <w:rsid w:val="0051016C"/>
    <w:rsid w:val="00520564"/>
    <w:rsid w:val="00521308"/>
    <w:rsid w:val="005214B2"/>
    <w:rsid w:val="00521619"/>
    <w:rsid w:val="00526311"/>
    <w:rsid w:val="00530150"/>
    <w:rsid w:val="00540A1C"/>
    <w:rsid w:val="00541234"/>
    <w:rsid w:val="00541D03"/>
    <w:rsid w:val="00543BA5"/>
    <w:rsid w:val="00553886"/>
    <w:rsid w:val="00554290"/>
    <w:rsid w:val="00554FEC"/>
    <w:rsid w:val="00555FA9"/>
    <w:rsid w:val="00556558"/>
    <w:rsid w:val="005577C1"/>
    <w:rsid w:val="0056177E"/>
    <w:rsid w:val="00571983"/>
    <w:rsid w:val="00577F1F"/>
    <w:rsid w:val="00584EC8"/>
    <w:rsid w:val="00586717"/>
    <w:rsid w:val="005914E3"/>
    <w:rsid w:val="00591E2E"/>
    <w:rsid w:val="00592CE8"/>
    <w:rsid w:val="005A5A6A"/>
    <w:rsid w:val="005A723C"/>
    <w:rsid w:val="005B0FD4"/>
    <w:rsid w:val="005B3F1E"/>
    <w:rsid w:val="005B548E"/>
    <w:rsid w:val="005B7BE3"/>
    <w:rsid w:val="005C2FCF"/>
    <w:rsid w:val="005C7BFE"/>
    <w:rsid w:val="005D001E"/>
    <w:rsid w:val="005D4DEF"/>
    <w:rsid w:val="005D6751"/>
    <w:rsid w:val="005E467B"/>
    <w:rsid w:val="005E5095"/>
    <w:rsid w:val="005E5543"/>
    <w:rsid w:val="005E7D29"/>
    <w:rsid w:val="005F3101"/>
    <w:rsid w:val="005F58B5"/>
    <w:rsid w:val="005F5F97"/>
    <w:rsid w:val="006039D6"/>
    <w:rsid w:val="00614A03"/>
    <w:rsid w:val="00614E51"/>
    <w:rsid w:val="00620A29"/>
    <w:rsid w:val="006212BF"/>
    <w:rsid w:val="00621E17"/>
    <w:rsid w:val="00623630"/>
    <w:rsid w:val="006333DC"/>
    <w:rsid w:val="00633551"/>
    <w:rsid w:val="006342F2"/>
    <w:rsid w:val="0063467E"/>
    <w:rsid w:val="0063543F"/>
    <w:rsid w:val="0063741D"/>
    <w:rsid w:val="00645881"/>
    <w:rsid w:val="00647F7E"/>
    <w:rsid w:val="0065081C"/>
    <w:rsid w:val="0065232B"/>
    <w:rsid w:val="00652464"/>
    <w:rsid w:val="00652E73"/>
    <w:rsid w:val="0065475E"/>
    <w:rsid w:val="00656D1C"/>
    <w:rsid w:val="006679E0"/>
    <w:rsid w:val="00667BDF"/>
    <w:rsid w:val="0067542E"/>
    <w:rsid w:val="006757BE"/>
    <w:rsid w:val="006779AC"/>
    <w:rsid w:val="00682109"/>
    <w:rsid w:val="0068222D"/>
    <w:rsid w:val="006958B4"/>
    <w:rsid w:val="006A295B"/>
    <w:rsid w:val="006A6532"/>
    <w:rsid w:val="006B3BE1"/>
    <w:rsid w:val="006B5D83"/>
    <w:rsid w:val="006C2FE1"/>
    <w:rsid w:val="006C36DD"/>
    <w:rsid w:val="006C6EFD"/>
    <w:rsid w:val="006C75A9"/>
    <w:rsid w:val="006D23A6"/>
    <w:rsid w:val="006F12ED"/>
    <w:rsid w:val="006F47B7"/>
    <w:rsid w:val="006F5D08"/>
    <w:rsid w:val="006F6190"/>
    <w:rsid w:val="007015AF"/>
    <w:rsid w:val="00706414"/>
    <w:rsid w:val="00712982"/>
    <w:rsid w:val="007137EA"/>
    <w:rsid w:val="00713B8B"/>
    <w:rsid w:val="00725CA6"/>
    <w:rsid w:val="00726AE7"/>
    <w:rsid w:val="00727080"/>
    <w:rsid w:val="00730B46"/>
    <w:rsid w:val="00731A93"/>
    <w:rsid w:val="007362FC"/>
    <w:rsid w:val="00737A92"/>
    <w:rsid w:val="00737C89"/>
    <w:rsid w:val="00747593"/>
    <w:rsid w:val="00747DD9"/>
    <w:rsid w:val="007509EB"/>
    <w:rsid w:val="007512FD"/>
    <w:rsid w:val="00751D81"/>
    <w:rsid w:val="0075588B"/>
    <w:rsid w:val="00760BD1"/>
    <w:rsid w:val="0076537E"/>
    <w:rsid w:val="00766626"/>
    <w:rsid w:val="00766C98"/>
    <w:rsid w:val="00771A0E"/>
    <w:rsid w:val="007748C3"/>
    <w:rsid w:val="00775E23"/>
    <w:rsid w:val="00776893"/>
    <w:rsid w:val="00781118"/>
    <w:rsid w:val="00783FB5"/>
    <w:rsid w:val="00787ABF"/>
    <w:rsid w:val="007902D0"/>
    <w:rsid w:val="00791A9A"/>
    <w:rsid w:val="00791F16"/>
    <w:rsid w:val="007924D0"/>
    <w:rsid w:val="007A0C64"/>
    <w:rsid w:val="007A51E8"/>
    <w:rsid w:val="007B008D"/>
    <w:rsid w:val="007B0FF7"/>
    <w:rsid w:val="007C3A4C"/>
    <w:rsid w:val="007D038D"/>
    <w:rsid w:val="007D132B"/>
    <w:rsid w:val="007D34A8"/>
    <w:rsid w:val="007D7466"/>
    <w:rsid w:val="007D74CB"/>
    <w:rsid w:val="007E29A5"/>
    <w:rsid w:val="007E4EDC"/>
    <w:rsid w:val="007E53C2"/>
    <w:rsid w:val="007E5550"/>
    <w:rsid w:val="007E5888"/>
    <w:rsid w:val="007F0F78"/>
    <w:rsid w:val="007F396F"/>
    <w:rsid w:val="007F460B"/>
    <w:rsid w:val="00801245"/>
    <w:rsid w:val="008026BB"/>
    <w:rsid w:val="00817DF8"/>
    <w:rsid w:val="00822090"/>
    <w:rsid w:val="00830CCE"/>
    <w:rsid w:val="00832C70"/>
    <w:rsid w:val="00833D3F"/>
    <w:rsid w:val="0083408E"/>
    <w:rsid w:val="008348D2"/>
    <w:rsid w:val="00843246"/>
    <w:rsid w:val="00843D59"/>
    <w:rsid w:val="00843D5D"/>
    <w:rsid w:val="0084554E"/>
    <w:rsid w:val="0084656D"/>
    <w:rsid w:val="00853A63"/>
    <w:rsid w:val="0086424E"/>
    <w:rsid w:val="00864F29"/>
    <w:rsid w:val="008658BB"/>
    <w:rsid w:val="0086716D"/>
    <w:rsid w:val="00870378"/>
    <w:rsid w:val="00871F9E"/>
    <w:rsid w:val="00873E62"/>
    <w:rsid w:val="00876B3F"/>
    <w:rsid w:val="00877117"/>
    <w:rsid w:val="0088124C"/>
    <w:rsid w:val="00883C61"/>
    <w:rsid w:val="00886011"/>
    <w:rsid w:val="00887F14"/>
    <w:rsid w:val="008906B7"/>
    <w:rsid w:val="00892145"/>
    <w:rsid w:val="0089606F"/>
    <w:rsid w:val="008A1F49"/>
    <w:rsid w:val="008A73B8"/>
    <w:rsid w:val="008B0253"/>
    <w:rsid w:val="008B2A45"/>
    <w:rsid w:val="008B4013"/>
    <w:rsid w:val="008B48C7"/>
    <w:rsid w:val="008B5C59"/>
    <w:rsid w:val="008B7954"/>
    <w:rsid w:val="008D23A2"/>
    <w:rsid w:val="008D4053"/>
    <w:rsid w:val="008D46E8"/>
    <w:rsid w:val="008D4B5F"/>
    <w:rsid w:val="008D7E9D"/>
    <w:rsid w:val="008E25A5"/>
    <w:rsid w:val="008F21FA"/>
    <w:rsid w:val="008F3517"/>
    <w:rsid w:val="008F65C0"/>
    <w:rsid w:val="00902637"/>
    <w:rsid w:val="009029BC"/>
    <w:rsid w:val="00903638"/>
    <w:rsid w:val="00904533"/>
    <w:rsid w:val="0090458E"/>
    <w:rsid w:val="00913468"/>
    <w:rsid w:val="00920F9B"/>
    <w:rsid w:val="00920FA1"/>
    <w:rsid w:val="009226DE"/>
    <w:rsid w:val="009265F0"/>
    <w:rsid w:val="00926701"/>
    <w:rsid w:val="00930629"/>
    <w:rsid w:val="009326F4"/>
    <w:rsid w:val="00934454"/>
    <w:rsid w:val="009351E4"/>
    <w:rsid w:val="00936253"/>
    <w:rsid w:val="00940416"/>
    <w:rsid w:val="009408C7"/>
    <w:rsid w:val="009418B3"/>
    <w:rsid w:val="009428F2"/>
    <w:rsid w:val="009429D7"/>
    <w:rsid w:val="0094730F"/>
    <w:rsid w:val="009536A5"/>
    <w:rsid w:val="009549F8"/>
    <w:rsid w:val="00954A5A"/>
    <w:rsid w:val="00956DAF"/>
    <w:rsid w:val="00961E36"/>
    <w:rsid w:val="009629A2"/>
    <w:rsid w:val="00974EF1"/>
    <w:rsid w:val="0098091E"/>
    <w:rsid w:val="009809D1"/>
    <w:rsid w:val="00983230"/>
    <w:rsid w:val="00983F5A"/>
    <w:rsid w:val="009850A0"/>
    <w:rsid w:val="009870FB"/>
    <w:rsid w:val="009874E6"/>
    <w:rsid w:val="00990908"/>
    <w:rsid w:val="009913E0"/>
    <w:rsid w:val="00993585"/>
    <w:rsid w:val="00995E4C"/>
    <w:rsid w:val="00996E85"/>
    <w:rsid w:val="009974AD"/>
    <w:rsid w:val="009A0C92"/>
    <w:rsid w:val="009B1403"/>
    <w:rsid w:val="009B28C4"/>
    <w:rsid w:val="009C16D1"/>
    <w:rsid w:val="009C3F5D"/>
    <w:rsid w:val="009D1590"/>
    <w:rsid w:val="009D30FD"/>
    <w:rsid w:val="009D3F69"/>
    <w:rsid w:val="009D6180"/>
    <w:rsid w:val="009D6B90"/>
    <w:rsid w:val="009D6CC2"/>
    <w:rsid w:val="009E005C"/>
    <w:rsid w:val="009E0B3B"/>
    <w:rsid w:val="009E275E"/>
    <w:rsid w:val="009E2D9A"/>
    <w:rsid w:val="009E3D0D"/>
    <w:rsid w:val="009E4D47"/>
    <w:rsid w:val="009E6A68"/>
    <w:rsid w:val="009F262D"/>
    <w:rsid w:val="009F6BC3"/>
    <w:rsid w:val="009F7836"/>
    <w:rsid w:val="00A010EE"/>
    <w:rsid w:val="00A0198A"/>
    <w:rsid w:val="00A01B25"/>
    <w:rsid w:val="00A03F36"/>
    <w:rsid w:val="00A04E7E"/>
    <w:rsid w:val="00A06215"/>
    <w:rsid w:val="00A14401"/>
    <w:rsid w:val="00A151F6"/>
    <w:rsid w:val="00A15E31"/>
    <w:rsid w:val="00A20CE4"/>
    <w:rsid w:val="00A22918"/>
    <w:rsid w:val="00A2453F"/>
    <w:rsid w:val="00A26BB6"/>
    <w:rsid w:val="00A323DC"/>
    <w:rsid w:val="00A40D9F"/>
    <w:rsid w:val="00A42185"/>
    <w:rsid w:val="00A4237D"/>
    <w:rsid w:val="00A423E0"/>
    <w:rsid w:val="00A42F90"/>
    <w:rsid w:val="00A43CD8"/>
    <w:rsid w:val="00A43E82"/>
    <w:rsid w:val="00A61D7B"/>
    <w:rsid w:val="00A63640"/>
    <w:rsid w:val="00A672E6"/>
    <w:rsid w:val="00A73769"/>
    <w:rsid w:val="00A767C4"/>
    <w:rsid w:val="00A806DC"/>
    <w:rsid w:val="00A82AC6"/>
    <w:rsid w:val="00A84D6C"/>
    <w:rsid w:val="00A86287"/>
    <w:rsid w:val="00A9230A"/>
    <w:rsid w:val="00A93636"/>
    <w:rsid w:val="00A9422C"/>
    <w:rsid w:val="00A958C7"/>
    <w:rsid w:val="00A95BEC"/>
    <w:rsid w:val="00A962E6"/>
    <w:rsid w:val="00A96A6E"/>
    <w:rsid w:val="00AA17CD"/>
    <w:rsid w:val="00AA299F"/>
    <w:rsid w:val="00AA3349"/>
    <w:rsid w:val="00AA4D88"/>
    <w:rsid w:val="00AA6718"/>
    <w:rsid w:val="00AA7124"/>
    <w:rsid w:val="00AA778A"/>
    <w:rsid w:val="00AB73ED"/>
    <w:rsid w:val="00AC6080"/>
    <w:rsid w:val="00AC6B20"/>
    <w:rsid w:val="00AD688B"/>
    <w:rsid w:val="00AE3431"/>
    <w:rsid w:val="00AE5B5A"/>
    <w:rsid w:val="00AE5EB1"/>
    <w:rsid w:val="00AE639C"/>
    <w:rsid w:val="00AE64D0"/>
    <w:rsid w:val="00AE6755"/>
    <w:rsid w:val="00AE72DC"/>
    <w:rsid w:val="00AF2921"/>
    <w:rsid w:val="00AF35B6"/>
    <w:rsid w:val="00AF3B58"/>
    <w:rsid w:val="00AF65FE"/>
    <w:rsid w:val="00B00DF2"/>
    <w:rsid w:val="00B11A7D"/>
    <w:rsid w:val="00B128E6"/>
    <w:rsid w:val="00B13CC9"/>
    <w:rsid w:val="00B1424D"/>
    <w:rsid w:val="00B1498A"/>
    <w:rsid w:val="00B264E1"/>
    <w:rsid w:val="00B42621"/>
    <w:rsid w:val="00B428B6"/>
    <w:rsid w:val="00B43802"/>
    <w:rsid w:val="00B44468"/>
    <w:rsid w:val="00B46763"/>
    <w:rsid w:val="00B51502"/>
    <w:rsid w:val="00B52751"/>
    <w:rsid w:val="00B5558C"/>
    <w:rsid w:val="00B55ED0"/>
    <w:rsid w:val="00B560C8"/>
    <w:rsid w:val="00B57865"/>
    <w:rsid w:val="00B61DCD"/>
    <w:rsid w:val="00B63FDF"/>
    <w:rsid w:val="00B66E7E"/>
    <w:rsid w:val="00B70180"/>
    <w:rsid w:val="00B7307C"/>
    <w:rsid w:val="00B741D3"/>
    <w:rsid w:val="00B772DC"/>
    <w:rsid w:val="00B77894"/>
    <w:rsid w:val="00B77BB2"/>
    <w:rsid w:val="00B80C39"/>
    <w:rsid w:val="00B80E10"/>
    <w:rsid w:val="00B81818"/>
    <w:rsid w:val="00B8307D"/>
    <w:rsid w:val="00B86412"/>
    <w:rsid w:val="00B907E8"/>
    <w:rsid w:val="00B9122D"/>
    <w:rsid w:val="00B9158B"/>
    <w:rsid w:val="00B91C95"/>
    <w:rsid w:val="00B92764"/>
    <w:rsid w:val="00B96EF7"/>
    <w:rsid w:val="00B97196"/>
    <w:rsid w:val="00B9721C"/>
    <w:rsid w:val="00BA1B4F"/>
    <w:rsid w:val="00BA4884"/>
    <w:rsid w:val="00BA55DE"/>
    <w:rsid w:val="00BA7A0F"/>
    <w:rsid w:val="00BB1A33"/>
    <w:rsid w:val="00BB2581"/>
    <w:rsid w:val="00BB6301"/>
    <w:rsid w:val="00BB71CF"/>
    <w:rsid w:val="00BC01AF"/>
    <w:rsid w:val="00BC0CC9"/>
    <w:rsid w:val="00BC26CB"/>
    <w:rsid w:val="00BC3A52"/>
    <w:rsid w:val="00BC3F55"/>
    <w:rsid w:val="00BC4562"/>
    <w:rsid w:val="00BC55B8"/>
    <w:rsid w:val="00BC5E97"/>
    <w:rsid w:val="00BD1051"/>
    <w:rsid w:val="00BD2F30"/>
    <w:rsid w:val="00BD35E3"/>
    <w:rsid w:val="00BD5BB2"/>
    <w:rsid w:val="00BE1860"/>
    <w:rsid w:val="00BE2A7A"/>
    <w:rsid w:val="00BE6081"/>
    <w:rsid w:val="00BE7496"/>
    <w:rsid w:val="00BF3298"/>
    <w:rsid w:val="00BF39F7"/>
    <w:rsid w:val="00C058DF"/>
    <w:rsid w:val="00C102CF"/>
    <w:rsid w:val="00C120AD"/>
    <w:rsid w:val="00C16879"/>
    <w:rsid w:val="00C16E6F"/>
    <w:rsid w:val="00C2240D"/>
    <w:rsid w:val="00C22E10"/>
    <w:rsid w:val="00C23F31"/>
    <w:rsid w:val="00C315B9"/>
    <w:rsid w:val="00C373FC"/>
    <w:rsid w:val="00C40D43"/>
    <w:rsid w:val="00C46642"/>
    <w:rsid w:val="00C4705A"/>
    <w:rsid w:val="00C50335"/>
    <w:rsid w:val="00C6014E"/>
    <w:rsid w:val="00C60349"/>
    <w:rsid w:val="00C6084D"/>
    <w:rsid w:val="00C614BF"/>
    <w:rsid w:val="00C61958"/>
    <w:rsid w:val="00C61BA7"/>
    <w:rsid w:val="00C655F7"/>
    <w:rsid w:val="00C669E9"/>
    <w:rsid w:val="00C67C09"/>
    <w:rsid w:val="00C72AAD"/>
    <w:rsid w:val="00C812AC"/>
    <w:rsid w:val="00C81E39"/>
    <w:rsid w:val="00C86BEE"/>
    <w:rsid w:val="00C95C88"/>
    <w:rsid w:val="00C95F63"/>
    <w:rsid w:val="00C97F44"/>
    <w:rsid w:val="00CA086E"/>
    <w:rsid w:val="00CA1C41"/>
    <w:rsid w:val="00CA30D7"/>
    <w:rsid w:val="00CA7556"/>
    <w:rsid w:val="00CB1FC9"/>
    <w:rsid w:val="00CB532C"/>
    <w:rsid w:val="00CB62FE"/>
    <w:rsid w:val="00CC1B22"/>
    <w:rsid w:val="00CC2562"/>
    <w:rsid w:val="00CC2990"/>
    <w:rsid w:val="00CD41EC"/>
    <w:rsid w:val="00CF587F"/>
    <w:rsid w:val="00D12F42"/>
    <w:rsid w:val="00D152DA"/>
    <w:rsid w:val="00D22327"/>
    <w:rsid w:val="00D24441"/>
    <w:rsid w:val="00D3127D"/>
    <w:rsid w:val="00D34D06"/>
    <w:rsid w:val="00D41CDC"/>
    <w:rsid w:val="00D42C1E"/>
    <w:rsid w:val="00D42D47"/>
    <w:rsid w:val="00D522D8"/>
    <w:rsid w:val="00D57031"/>
    <w:rsid w:val="00D634AE"/>
    <w:rsid w:val="00D6745C"/>
    <w:rsid w:val="00D70FB3"/>
    <w:rsid w:val="00D73E44"/>
    <w:rsid w:val="00D74790"/>
    <w:rsid w:val="00D80FE9"/>
    <w:rsid w:val="00D81E6C"/>
    <w:rsid w:val="00D8248F"/>
    <w:rsid w:val="00D83AA1"/>
    <w:rsid w:val="00D84F88"/>
    <w:rsid w:val="00D90FA9"/>
    <w:rsid w:val="00D916BF"/>
    <w:rsid w:val="00D95FD5"/>
    <w:rsid w:val="00D97832"/>
    <w:rsid w:val="00D97FE8"/>
    <w:rsid w:val="00DA0196"/>
    <w:rsid w:val="00DA4D88"/>
    <w:rsid w:val="00DA59F4"/>
    <w:rsid w:val="00DB1D35"/>
    <w:rsid w:val="00DB339F"/>
    <w:rsid w:val="00DB6BB4"/>
    <w:rsid w:val="00DB6E9C"/>
    <w:rsid w:val="00DC3094"/>
    <w:rsid w:val="00DC55EE"/>
    <w:rsid w:val="00DC55FB"/>
    <w:rsid w:val="00DD4135"/>
    <w:rsid w:val="00DD4929"/>
    <w:rsid w:val="00DD5FDC"/>
    <w:rsid w:val="00DD6202"/>
    <w:rsid w:val="00DE2D6F"/>
    <w:rsid w:val="00DE3C9F"/>
    <w:rsid w:val="00DE3CE3"/>
    <w:rsid w:val="00DE5AAB"/>
    <w:rsid w:val="00DF07A3"/>
    <w:rsid w:val="00DF197B"/>
    <w:rsid w:val="00DF1CD8"/>
    <w:rsid w:val="00DF7175"/>
    <w:rsid w:val="00E0072A"/>
    <w:rsid w:val="00E00DA9"/>
    <w:rsid w:val="00E02D6B"/>
    <w:rsid w:val="00E03BC6"/>
    <w:rsid w:val="00E04898"/>
    <w:rsid w:val="00E0524C"/>
    <w:rsid w:val="00E107B4"/>
    <w:rsid w:val="00E10A44"/>
    <w:rsid w:val="00E13F06"/>
    <w:rsid w:val="00E15BF8"/>
    <w:rsid w:val="00E23B8D"/>
    <w:rsid w:val="00E2767E"/>
    <w:rsid w:val="00E27DC2"/>
    <w:rsid w:val="00E30CD5"/>
    <w:rsid w:val="00E32BA7"/>
    <w:rsid w:val="00E35A69"/>
    <w:rsid w:val="00E40CB9"/>
    <w:rsid w:val="00E46F10"/>
    <w:rsid w:val="00E51DCF"/>
    <w:rsid w:val="00E6182E"/>
    <w:rsid w:val="00E6241C"/>
    <w:rsid w:val="00E6288E"/>
    <w:rsid w:val="00E74D8F"/>
    <w:rsid w:val="00E75440"/>
    <w:rsid w:val="00E75450"/>
    <w:rsid w:val="00E754CA"/>
    <w:rsid w:val="00E76F92"/>
    <w:rsid w:val="00E772BC"/>
    <w:rsid w:val="00E8665E"/>
    <w:rsid w:val="00E909A4"/>
    <w:rsid w:val="00EA04DE"/>
    <w:rsid w:val="00EA05D0"/>
    <w:rsid w:val="00EA0E57"/>
    <w:rsid w:val="00EB0029"/>
    <w:rsid w:val="00EB1C89"/>
    <w:rsid w:val="00EB6FFD"/>
    <w:rsid w:val="00EB771B"/>
    <w:rsid w:val="00EC1927"/>
    <w:rsid w:val="00EC3933"/>
    <w:rsid w:val="00EC3B07"/>
    <w:rsid w:val="00EC549A"/>
    <w:rsid w:val="00EC5E61"/>
    <w:rsid w:val="00ED1420"/>
    <w:rsid w:val="00ED2EE8"/>
    <w:rsid w:val="00ED61E7"/>
    <w:rsid w:val="00EE00A6"/>
    <w:rsid w:val="00EE2D16"/>
    <w:rsid w:val="00EE7049"/>
    <w:rsid w:val="00EE727D"/>
    <w:rsid w:val="00EE7B9B"/>
    <w:rsid w:val="00EF0CB3"/>
    <w:rsid w:val="00EF0E9B"/>
    <w:rsid w:val="00EF1572"/>
    <w:rsid w:val="00EF26C9"/>
    <w:rsid w:val="00EF3302"/>
    <w:rsid w:val="00EF44A4"/>
    <w:rsid w:val="00EF597A"/>
    <w:rsid w:val="00EF72CF"/>
    <w:rsid w:val="00F024DE"/>
    <w:rsid w:val="00F02825"/>
    <w:rsid w:val="00F03106"/>
    <w:rsid w:val="00F04EDF"/>
    <w:rsid w:val="00F06C4F"/>
    <w:rsid w:val="00F10EC2"/>
    <w:rsid w:val="00F1151A"/>
    <w:rsid w:val="00F13FCF"/>
    <w:rsid w:val="00F16BAD"/>
    <w:rsid w:val="00F21BE2"/>
    <w:rsid w:val="00F256FB"/>
    <w:rsid w:val="00F26E2B"/>
    <w:rsid w:val="00F27E53"/>
    <w:rsid w:val="00F27E76"/>
    <w:rsid w:val="00F337B2"/>
    <w:rsid w:val="00F33D1F"/>
    <w:rsid w:val="00F34B70"/>
    <w:rsid w:val="00F35C43"/>
    <w:rsid w:val="00F51213"/>
    <w:rsid w:val="00F53924"/>
    <w:rsid w:val="00F555FF"/>
    <w:rsid w:val="00F579E2"/>
    <w:rsid w:val="00F64756"/>
    <w:rsid w:val="00F668A6"/>
    <w:rsid w:val="00F67ADD"/>
    <w:rsid w:val="00F72E3A"/>
    <w:rsid w:val="00F7605C"/>
    <w:rsid w:val="00F8232F"/>
    <w:rsid w:val="00F9173E"/>
    <w:rsid w:val="00F95394"/>
    <w:rsid w:val="00F958D2"/>
    <w:rsid w:val="00F95E28"/>
    <w:rsid w:val="00F97436"/>
    <w:rsid w:val="00F9756E"/>
    <w:rsid w:val="00F97F5A"/>
    <w:rsid w:val="00FA1107"/>
    <w:rsid w:val="00FA121A"/>
    <w:rsid w:val="00FA17D8"/>
    <w:rsid w:val="00FA18C0"/>
    <w:rsid w:val="00FA2B32"/>
    <w:rsid w:val="00FA348D"/>
    <w:rsid w:val="00FA3B60"/>
    <w:rsid w:val="00FA450E"/>
    <w:rsid w:val="00FA5E21"/>
    <w:rsid w:val="00FB149D"/>
    <w:rsid w:val="00FB1623"/>
    <w:rsid w:val="00FB3552"/>
    <w:rsid w:val="00FB3731"/>
    <w:rsid w:val="00FB7315"/>
    <w:rsid w:val="00FB7FDA"/>
    <w:rsid w:val="00FC0233"/>
    <w:rsid w:val="00FC15A7"/>
    <w:rsid w:val="00FC4AD8"/>
    <w:rsid w:val="00FC70F8"/>
    <w:rsid w:val="00FD0DB5"/>
    <w:rsid w:val="00FD58AF"/>
    <w:rsid w:val="00FD7F7B"/>
    <w:rsid w:val="00FE02BF"/>
    <w:rsid w:val="00FE1BE4"/>
    <w:rsid w:val="00FE353D"/>
    <w:rsid w:val="00FE37E6"/>
    <w:rsid w:val="00FE4275"/>
    <w:rsid w:val="00FF3255"/>
    <w:rsid w:val="00FF33FB"/>
    <w:rsid w:val="00FF454A"/>
    <w:rsid w:val="00FF5FD5"/>
    <w:rsid w:val="00FF7F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1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22D8"/>
    <w:pPr>
      <w:spacing w:before="120" w:after="120" w:line="240" w:lineRule="auto"/>
      <w:jc w:val="both"/>
    </w:pPr>
    <w:rPr>
      <w:rFonts w:ascii="Cambria" w:eastAsia="Calibri" w:hAnsi="Cambria" w:cs="Times New Roman"/>
    </w:rPr>
  </w:style>
  <w:style w:type="paragraph" w:styleId="berschrift1">
    <w:name w:val="heading 1"/>
    <w:basedOn w:val="Standard"/>
    <w:next w:val="Standard"/>
    <w:link w:val="berschrift1Zchn"/>
    <w:uiPriority w:val="9"/>
    <w:qFormat/>
    <w:rsid w:val="00B61DCD"/>
    <w:pPr>
      <w:keepNext/>
      <w:keepLines/>
      <w:numPr>
        <w:numId w:val="3"/>
      </w:numPr>
      <w:spacing w:before="480"/>
      <w:outlineLvl w:val="0"/>
    </w:pPr>
    <w:rPr>
      <w:rFonts w:eastAsiaTheme="majorEastAsia" w:cstheme="majorBidi"/>
      <w:b/>
      <w:color w:val="0050EC"/>
      <w:szCs w:val="32"/>
    </w:rPr>
  </w:style>
  <w:style w:type="paragraph" w:styleId="berschrift2">
    <w:name w:val="heading 2"/>
    <w:basedOn w:val="Standard"/>
    <w:next w:val="Standard"/>
    <w:link w:val="berschrift2Zchn"/>
    <w:uiPriority w:val="9"/>
    <w:unhideWhenUsed/>
    <w:qFormat/>
    <w:rsid w:val="00D24441"/>
    <w:pPr>
      <w:keepNext/>
      <w:keepLines/>
      <w:spacing w:before="240"/>
      <w:outlineLvl w:val="1"/>
    </w:pPr>
    <w:rPr>
      <w:rFonts w:eastAsiaTheme="majorEastAsia" w:cstheme="majorBidi"/>
      <w:b/>
      <w:szCs w:val="26"/>
    </w:rPr>
  </w:style>
  <w:style w:type="paragraph" w:styleId="berschrift3">
    <w:name w:val="heading 3"/>
    <w:basedOn w:val="Standard"/>
    <w:next w:val="Standard"/>
    <w:link w:val="berschrift3Zchn"/>
    <w:uiPriority w:val="9"/>
    <w:semiHidden/>
    <w:unhideWhenUsed/>
    <w:qFormat/>
    <w:rsid w:val="00BB2581"/>
    <w:pPr>
      <w:keepNext/>
      <w:keepLines/>
      <w:numPr>
        <w:ilvl w:val="2"/>
        <w:numId w:val="3"/>
      </w:numPr>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BB2581"/>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BB2581"/>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BB2581"/>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BB2581"/>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BB2581"/>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B2581"/>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93585"/>
    <w:pPr>
      <w:tabs>
        <w:tab w:val="center" w:pos="4536"/>
        <w:tab w:val="right" w:pos="9072"/>
      </w:tabs>
    </w:pPr>
  </w:style>
  <w:style w:type="character" w:customStyle="1" w:styleId="KopfzeileZchn">
    <w:name w:val="Kopfzeile Zchn"/>
    <w:basedOn w:val="Absatz-Standardschriftart"/>
    <w:link w:val="Kopfzeile"/>
    <w:rsid w:val="00993585"/>
    <w:rPr>
      <w:rFonts w:ascii="Arial" w:eastAsia="Calibri" w:hAnsi="Arial" w:cs="Times New Roman"/>
    </w:rPr>
  </w:style>
  <w:style w:type="paragraph" w:styleId="Fuzeile">
    <w:name w:val="footer"/>
    <w:basedOn w:val="Standard"/>
    <w:link w:val="FuzeileZchn"/>
    <w:uiPriority w:val="99"/>
    <w:unhideWhenUsed/>
    <w:rsid w:val="00993585"/>
    <w:pPr>
      <w:tabs>
        <w:tab w:val="center" w:pos="4536"/>
        <w:tab w:val="right" w:pos="9072"/>
      </w:tabs>
    </w:pPr>
  </w:style>
  <w:style w:type="character" w:customStyle="1" w:styleId="FuzeileZchn">
    <w:name w:val="Fußzeile Zchn"/>
    <w:basedOn w:val="Absatz-Standardschriftart"/>
    <w:link w:val="Fuzeile"/>
    <w:uiPriority w:val="99"/>
    <w:rsid w:val="00993585"/>
    <w:rPr>
      <w:rFonts w:ascii="Arial" w:eastAsia="Calibri" w:hAnsi="Arial" w:cs="Times New Roman"/>
    </w:rPr>
  </w:style>
  <w:style w:type="paragraph" w:styleId="Listenabsatz">
    <w:name w:val="List Paragraph"/>
    <w:aliases w:val="Aufzählung"/>
    <w:basedOn w:val="Standard"/>
    <w:link w:val="ListenabsatzZchn"/>
    <w:uiPriority w:val="34"/>
    <w:qFormat/>
    <w:rsid w:val="00993585"/>
    <w:pPr>
      <w:spacing w:line="276" w:lineRule="auto"/>
      <w:ind w:left="720"/>
      <w:contextualSpacing/>
    </w:pPr>
    <w:rPr>
      <w:rFonts w:eastAsia="Times New Roman"/>
      <w:szCs w:val="24"/>
      <w:lang w:eastAsia="de-DE"/>
    </w:rPr>
  </w:style>
  <w:style w:type="character" w:customStyle="1" w:styleId="ListenabsatzZchn">
    <w:name w:val="Listenabsatz Zchn"/>
    <w:aliases w:val="Aufzählung Zchn"/>
    <w:link w:val="Listenabsatz"/>
    <w:uiPriority w:val="34"/>
    <w:locked/>
    <w:rsid w:val="00993585"/>
    <w:rPr>
      <w:rFonts w:ascii="Arial" w:eastAsia="Times New Roman" w:hAnsi="Arial" w:cs="Times New Roman"/>
      <w:szCs w:val="24"/>
      <w:lang w:eastAsia="de-DE"/>
    </w:rPr>
  </w:style>
  <w:style w:type="table" w:styleId="Tabellenraster">
    <w:name w:val="Table Grid"/>
    <w:basedOn w:val="NormaleTabelle"/>
    <w:uiPriority w:val="59"/>
    <w:rsid w:val="0099358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fzhlungDownload">
    <w:name w:val="Aufzählung Download"/>
    <w:basedOn w:val="KeineListe"/>
    <w:rsid w:val="00993585"/>
    <w:pPr>
      <w:numPr>
        <w:numId w:val="2"/>
      </w:numPr>
    </w:pPr>
  </w:style>
  <w:style w:type="character" w:customStyle="1" w:styleId="berschrift1Zchn">
    <w:name w:val="Überschrift 1 Zchn"/>
    <w:basedOn w:val="Absatz-Standardschriftart"/>
    <w:link w:val="berschrift1"/>
    <w:uiPriority w:val="9"/>
    <w:rsid w:val="00B61DCD"/>
    <w:rPr>
      <w:rFonts w:ascii="Cambria" w:eastAsiaTheme="majorEastAsia" w:hAnsi="Cambria" w:cstheme="majorBidi"/>
      <w:b/>
      <w:color w:val="0050EC"/>
      <w:szCs w:val="32"/>
    </w:rPr>
  </w:style>
  <w:style w:type="character" w:customStyle="1" w:styleId="berschrift2Zchn">
    <w:name w:val="Überschrift 2 Zchn"/>
    <w:basedOn w:val="Absatz-Standardschriftart"/>
    <w:link w:val="berschrift2"/>
    <w:uiPriority w:val="9"/>
    <w:rsid w:val="00D24441"/>
    <w:rPr>
      <w:rFonts w:ascii="Cambria" w:eastAsiaTheme="majorEastAsia" w:hAnsi="Cambria" w:cstheme="majorBidi"/>
      <w:b/>
      <w:szCs w:val="26"/>
    </w:rPr>
  </w:style>
  <w:style w:type="character" w:customStyle="1" w:styleId="berschrift3Zchn">
    <w:name w:val="Überschrift 3 Zchn"/>
    <w:basedOn w:val="Absatz-Standardschriftart"/>
    <w:link w:val="berschrift3"/>
    <w:uiPriority w:val="9"/>
    <w:semiHidden/>
    <w:rsid w:val="00BB2581"/>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BB2581"/>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BB2581"/>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BB258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BB258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BB258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B2581"/>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D24441"/>
    <w:pPr>
      <w:numPr>
        <w:numId w:val="0"/>
      </w:numPr>
      <w:spacing w:after="0" w:line="259" w:lineRule="auto"/>
      <w:outlineLvl w:val="9"/>
    </w:pPr>
    <w:rPr>
      <w:rFonts w:asciiTheme="majorHAnsi" w:hAnsiTheme="majorHAnsi"/>
      <w:b w:val="0"/>
      <w:color w:val="2E74B5" w:themeColor="accent1" w:themeShade="BF"/>
      <w:sz w:val="32"/>
      <w:lang w:eastAsia="de-DE"/>
    </w:rPr>
  </w:style>
  <w:style w:type="paragraph" w:styleId="Verzeichnis1">
    <w:name w:val="toc 1"/>
    <w:basedOn w:val="Standard"/>
    <w:next w:val="Standard"/>
    <w:autoRedefine/>
    <w:uiPriority w:val="39"/>
    <w:unhideWhenUsed/>
    <w:rsid w:val="006F12ED"/>
    <w:pPr>
      <w:tabs>
        <w:tab w:val="left" w:pos="880"/>
        <w:tab w:val="right" w:leader="dot" w:pos="9062"/>
      </w:tabs>
      <w:ind w:left="794" w:hanging="368"/>
    </w:pPr>
    <w:rPr>
      <w:sz w:val="20"/>
    </w:rPr>
  </w:style>
  <w:style w:type="paragraph" w:styleId="Verzeichnis2">
    <w:name w:val="toc 2"/>
    <w:basedOn w:val="Standard"/>
    <w:next w:val="Standard"/>
    <w:autoRedefine/>
    <w:uiPriority w:val="39"/>
    <w:unhideWhenUsed/>
    <w:rsid w:val="00D24441"/>
    <w:pPr>
      <w:spacing w:after="100"/>
      <w:ind w:left="220"/>
    </w:pPr>
  </w:style>
  <w:style w:type="character" w:styleId="Hyperlink">
    <w:name w:val="Hyperlink"/>
    <w:basedOn w:val="Absatz-Standardschriftart"/>
    <w:uiPriority w:val="99"/>
    <w:unhideWhenUsed/>
    <w:rsid w:val="00D24441"/>
    <w:rPr>
      <w:color w:val="0563C1" w:themeColor="hyperlink"/>
      <w:u w:val="single"/>
    </w:rPr>
  </w:style>
  <w:style w:type="paragraph" w:styleId="Titel">
    <w:name w:val="Title"/>
    <w:basedOn w:val="Standard"/>
    <w:next w:val="Standard"/>
    <w:link w:val="TitelZchn"/>
    <w:uiPriority w:val="10"/>
    <w:qFormat/>
    <w:rsid w:val="00541234"/>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41234"/>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956DAF"/>
    <w:rPr>
      <w:b/>
      <w:bCs/>
    </w:rPr>
  </w:style>
  <w:style w:type="paragraph" w:styleId="Sprechblasentext">
    <w:name w:val="Balloon Text"/>
    <w:basedOn w:val="Standard"/>
    <w:link w:val="SprechblasentextZchn"/>
    <w:uiPriority w:val="99"/>
    <w:semiHidden/>
    <w:unhideWhenUsed/>
    <w:rsid w:val="009D159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1590"/>
    <w:rPr>
      <w:rFonts w:ascii="Segoe UI" w:eastAsia="Calibri" w:hAnsi="Segoe UI" w:cs="Segoe UI"/>
      <w:sz w:val="18"/>
      <w:szCs w:val="18"/>
    </w:rPr>
  </w:style>
  <w:style w:type="paragraph" w:customStyle="1" w:styleId="Default">
    <w:name w:val="Default"/>
    <w:rsid w:val="00AA17CD"/>
    <w:pPr>
      <w:autoSpaceDE w:val="0"/>
      <w:autoSpaceDN w:val="0"/>
      <w:adjustRightInd w:val="0"/>
      <w:spacing w:after="0" w:line="240" w:lineRule="auto"/>
    </w:pPr>
    <w:rPr>
      <w:rFonts w:ascii="Times New Roman" w:hAnsi="Times New Roman" w:cs="Times New Roman"/>
      <w:color w:val="000000"/>
      <w:sz w:val="24"/>
      <w:szCs w:val="24"/>
    </w:rPr>
  </w:style>
  <w:style w:type="table" w:styleId="TabelleAktuell">
    <w:name w:val="Table Contemporary"/>
    <w:basedOn w:val="NormaleTabelle"/>
    <w:uiPriority w:val="99"/>
    <w:semiHidden/>
    <w:unhideWhenUsed/>
    <w:rsid w:val="00006F16"/>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erarbeitung">
    <w:name w:val="Revision"/>
    <w:hidden/>
    <w:uiPriority w:val="99"/>
    <w:semiHidden/>
    <w:rsid w:val="00652464"/>
    <w:pPr>
      <w:spacing w:after="0" w:line="240" w:lineRule="auto"/>
    </w:pPr>
    <w:rPr>
      <w:rFonts w:ascii="Cambria" w:eastAsia="Calibri" w:hAnsi="Cambria" w:cs="Times New Roman"/>
    </w:rPr>
  </w:style>
  <w:style w:type="character" w:styleId="Kommentarzeichen">
    <w:name w:val="annotation reference"/>
    <w:basedOn w:val="Absatz-Standardschriftart"/>
    <w:uiPriority w:val="99"/>
    <w:semiHidden/>
    <w:unhideWhenUsed/>
    <w:rsid w:val="00DF7175"/>
    <w:rPr>
      <w:sz w:val="16"/>
      <w:szCs w:val="16"/>
    </w:rPr>
  </w:style>
  <w:style w:type="paragraph" w:styleId="Kommentartext">
    <w:name w:val="annotation text"/>
    <w:basedOn w:val="Standard"/>
    <w:link w:val="KommentartextZchn"/>
    <w:uiPriority w:val="99"/>
    <w:semiHidden/>
    <w:unhideWhenUsed/>
    <w:rsid w:val="00DF7175"/>
    <w:rPr>
      <w:sz w:val="20"/>
      <w:szCs w:val="20"/>
    </w:rPr>
  </w:style>
  <w:style w:type="character" w:customStyle="1" w:styleId="KommentartextZchn">
    <w:name w:val="Kommentartext Zchn"/>
    <w:basedOn w:val="Absatz-Standardschriftart"/>
    <w:link w:val="Kommentartext"/>
    <w:uiPriority w:val="99"/>
    <w:semiHidden/>
    <w:rsid w:val="00DF7175"/>
    <w:rPr>
      <w:rFonts w:ascii="Cambria" w:eastAsia="Calibri"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DF7175"/>
    <w:rPr>
      <w:b/>
      <w:bCs/>
    </w:rPr>
  </w:style>
  <w:style w:type="character" w:customStyle="1" w:styleId="KommentarthemaZchn">
    <w:name w:val="Kommentarthema Zchn"/>
    <w:basedOn w:val="KommentartextZchn"/>
    <w:link w:val="Kommentarthema"/>
    <w:uiPriority w:val="99"/>
    <w:semiHidden/>
    <w:rsid w:val="00DF7175"/>
    <w:rPr>
      <w:rFonts w:ascii="Cambria" w:eastAsia="Calibri" w:hAnsi="Cambria" w:cs="Times New Roman"/>
      <w:b/>
      <w:bCs/>
      <w:sz w:val="20"/>
      <w:szCs w:val="20"/>
    </w:rPr>
  </w:style>
  <w:style w:type="character" w:styleId="BesuchterHyperlink">
    <w:name w:val="FollowedHyperlink"/>
    <w:basedOn w:val="Absatz-Standardschriftart"/>
    <w:uiPriority w:val="99"/>
    <w:semiHidden/>
    <w:unhideWhenUsed/>
    <w:rsid w:val="000C378F"/>
    <w:rPr>
      <w:color w:val="954F72" w:themeColor="followedHyperlink"/>
      <w:u w:val="single"/>
    </w:rPr>
  </w:style>
  <w:style w:type="paragraph" w:styleId="KeinLeerraum">
    <w:name w:val="No Spacing"/>
    <w:uiPriority w:val="1"/>
    <w:qFormat/>
    <w:rsid w:val="003B6450"/>
    <w:pPr>
      <w:spacing w:after="0" w:line="240" w:lineRule="auto"/>
      <w:jc w:val="both"/>
    </w:pPr>
    <w:rPr>
      <w:rFonts w:ascii="Cambria" w:eastAsia="Calibri" w:hAnsi="Cambria" w:cs="Times New Roman"/>
    </w:rPr>
  </w:style>
  <w:style w:type="table" w:customStyle="1" w:styleId="ListTable2Accent1">
    <w:name w:val="List Table 2 Accent 1"/>
    <w:basedOn w:val="NormaleTabelle"/>
    <w:uiPriority w:val="47"/>
    <w:rsid w:val="008026BB"/>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tandard06-rot-fett">
    <w:name w:val="Standard06 - rot - fett"/>
    <w:basedOn w:val="Standard"/>
    <w:link w:val="Standard06-rot-fettZchn"/>
    <w:qFormat/>
    <w:rsid w:val="008026BB"/>
    <w:pPr>
      <w:spacing w:before="0" w:after="0" w:line="276" w:lineRule="auto"/>
    </w:pPr>
    <w:rPr>
      <w:rFonts w:ascii="Arial" w:eastAsiaTheme="minorHAnsi" w:hAnsi="Arial" w:cstheme="minorBidi"/>
      <w:b/>
      <w:color w:val="FF0000"/>
    </w:rPr>
  </w:style>
  <w:style w:type="character" w:customStyle="1" w:styleId="Standard06-rot-fettZchn">
    <w:name w:val="Standard06 - rot - fett Zchn"/>
    <w:basedOn w:val="Absatz-Standardschriftart"/>
    <w:link w:val="Standard06-rot-fett"/>
    <w:rsid w:val="008026BB"/>
    <w:rPr>
      <w:rFonts w:ascii="Arial" w:hAnsi="Arial"/>
      <w:b/>
      <w:color w:val="FF0000"/>
    </w:rPr>
  </w:style>
  <w:style w:type="character" w:styleId="Hervorhebung">
    <w:name w:val="Emphasis"/>
    <w:basedOn w:val="Absatz-Standardschriftart"/>
    <w:uiPriority w:val="20"/>
    <w:qFormat/>
    <w:rsid w:val="00DD62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22D8"/>
    <w:pPr>
      <w:spacing w:before="120" w:after="120" w:line="240" w:lineRule="auto"/>
      <w:jc w:val="both"/>
    </w:pPr>
    <w:rPr>
      <w:rFonts w:ascii="Cambria" w:eastAsia="Calibri" w:hAnsi="Cambria" w:cs="Times New Roman"/>
    </w:rPr>
  </w:style>
  <w:style w:type="paragraph" w:styleId="berschrift1">
    <w:name w:val="heading 1"/>
    <w:basedOn w:val="Standard"/>
    <w:next w:val="Standard"/>
    <w:link w:val="berschrift1Zchn"/>
    <w:uiPriority w:val="9"/>
    <w:qFormat/>
    <w:rsid w:val="00B61DCD"/>
    <w:pPr>
      <w:keepNext/>
      <w:keepLines/>
      <w:numPr>
        <w:numId w:val="3"/>
      </w:numPr>
      <w:spacing w:before="480"/>
      <w:outlineLvl w:val="0"/>
    </w:pPr>
    <w:rPr>
      <w:rFonts w:eastAsiaTheme="majorEastAsia" w:cstheme="majorBidi"/>
      <w:b/>
      <w:color w:val="0050EC"/>
      <w:szCs w:val="32"/>
    </w:rPr>
  </w:style>
  <w:style w:type="paragraph" w:styleId="berschrift2">
    <w:name w:val="heading 2"/>
    <w:basedOn w:val="Standard"/>
    <w:next w:val="Standard"/>
    <w:link w:val="berschrift2Zchn"/>
    <w:uiPriority w:val="9"/>
    <w:unhideWhenUsed/>
    <w:qFormat/>
    <w:rsid w:val="00D24441"/>
    <w:pPr>
      <w:keepNext/>
      <w:keepLines/>
      <w:spacing w:before="240"/>
      <w:outlineLvl w:val="1"/>
    </w:pPr>
    <w:rPr>
      <w:rFonts w:eastAsiaTheme="majorEastAsia" w:cstheme="majorBidi"/>
      <w:b/>
      <w:szCs w:val="26"/>
    </w:rPr>
  </w:style>
  <w:style w:type="paragraph" w:styleId="berschrift3">
    <w:name w:val="heading 3"/>
    <w:basedOn w:val="Standard"/>
    <w:next w:val="Standard"/>
    <w:link w:val="berschrift3Zchn"/>
    <w:uiPriority w:val="9"/>
    <w:semiHidden/>
    <w:unhideWhenUsed/>
    <w:qFormat/>
    <w:rsid w:val="00BB2581"/>
    <w:pPr>
      <w:keepNext/>
      <w:keepLines/>
      <w:numPr>
        <w:ilvl w:val="2"/>
        <w:numId w:val="3"/>
      </w:numPr>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BB2581"/>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BB2581"/>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BB2581"/>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BB2581"/>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BB2581"/>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B2581"/>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93585"/>
    <w:pPr>
      <w:tabs>
        <w:tab w:val="center" w:pos="4536"/>
        <w:tab w:val="right" w:pos="9072"/>
      </w:tabs>
    </w:pPr>
  </w:style>
  <w:style w:type="character" w:customStyle="1" w:styleId="KopfzeileZchn">
    <w:name w:val="Kopfzeile Zchn"/>
    <w:basedOn w:val="Absatz-Standardschriftart"/>
    <w:link w:val="Kopfzeile"/>
    <w:rsid w:val="00993585"/>
    <w:rPr>
      <w:rFonts w:ascii="Arial" w:eastAsia="Calibri" w:hAnsi="Arial" w:cs="Times New Roman"/>
    </w:rPr>
  </w:style>
  <w:style w:type="paragraph" w:styleId="Fuzeile">
    <w:name w:val="footer"/>
    <w:basedOn w:val="Standard"/>
    <w:link w:val="FuzeileZchn"/>
    <w:uiPriority w:val="99"/>
    <w:unhideWhenUsed/>
    <w:rsid w:val="00993585"/>
    <w:pPr>
      <w:tabs>
        <w:tab w:val="center" w:pos="4536"/>
        <w:tab w:val="right" w:pos="9072"/>
      </w:tabs>
    </w:pPr>
  </w:style>
  <w:style w:type="character" w:customStyle="1" w:styleId="FuzeileZchn">
    <w:name w:val="Fußzeile Zchn"/>
    <w:basedOn w:val="Absatz-Standardschriftart"/>
    <w:link w:val="Fuzeile"/>
    <w:uiPriority w:val="99"/>
    <w:rsid w:val="00993585"/>
    <w:rPr>
      <w:rFonts w:ascii="Arial" w:eastAsia="Calibri" w:hAnsi="Arial" w:cs="Times New Roman"/>
    </w:rPr>
  </w:style>
  <w:style w:type="paragraph" w:styleId="Listenabsatz">
    <w:name w:val="List Paragraph"/>
    <w:aliases w:val="Aufzählung"/>
    <w:basedOn w:val="Standard"/>
    <w:link w:val="ListenabsatzZchn"/>
    <w:uiPriority w:val="34"/>
    <w:qFormat/>
    <w:rsid w:val="00993585"/>
    <w:pPr>
      <w:spacing w:line="276" w:lineRule="auto"/>
      <w:ind w:left="720"/>
      <w:contextualSpacing/>
    </w:pPr>
    <w:rPr>
      <w:rFonts w:eastAsia="Times New Roman"/>
      <w:szCs w:val="24"/>
      <w:lang w:eastAsia="de-DE"/>
    </w:rPr>
  </w:style>
  <w:style w:type="character" w:customStyle="1" w:styleId="ListenabsatzZchn">
    <w:name w:val="Listenabsatz Zchn"/>
    <w:aliases w:val="Aufzählung Zchn"/>
    <w:link w:val="Listenabsatz"/>
    <w:uiPriority w:val="34"/>
    <w:locked/>
    <w:rsid w:val="00993585"/>
    <w:rPr>
      <w:rFonts w:ascii="Arial" w:eastAsia="Times New Roman" w:hAnsi="Arial" w:cs="Times New Roman"/>
      <w:szCs w:val="24"/>
      <w:lang w:eastAsia="de-DE"/>
    </w:rPr>
  </w:style>
  <w:style w:type="table" w:styleId="Tabellenraster">
    <w:name w:val="Table Grid"/>
    <w:basedOn w:val="NormaleTabelle"/>
    <w:uiPriority w:val="59"/>
    <w:rsid w:val="0099358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fzhlungDownload">
    <w:name w:val="Aufzählung Download"/>
    <w:basedOn w:val="KeineListe"/>
    <w:rsid w:val="00993585"/>
    <w:pPr>
      <w:numPr>
        <w:numId w:val="2"/>
      </w:numPr>
    </w:pPr>
  </w:style>
  <w:style w:type="character" w:customStyle="1" w:styleId="berschrift1Zchn">
    <w:name w:val="Überschrift 1 Zchn"/>
    <w:basedOn w:val="Absatz-Standardschriftart"/>
    <w:link w:val="berschrift1"/>
    <w:uiPriority w:val="9"/>
    <w:rsid w:val="00B61DCD"/>
    <w:rPr>
      <w:rFonts w:ascii="Cambria" w:eastAsiaTheme="majorEastAsia" w:hAnsi="Cambria" w:cstheme="majorBidi"/>
      <w:b/>
      <w:color w:val="0050EC"/>
      <w:szCs w:val="32"/>
    </w:rPr>
  </w:style>
  <w:style w:type="character" w:customStyle="1" w:styleId="berschrift2Zchn">
    <w:name w:val="Überschrift 2 Zchn"/>
    <w:basedOn w:val="Absatz-Standardschriftart"/>
    <w:link w:val="berschrift2"/>
    <w:uiPriority w:val="9"/>
    <w:rsid w:val="00D24441"/>
    <w:rPr>
      <w:rFonts w:ascii="Cambria" w:eastAsiaTheme="majorEastAsia" w:hAnsi="Cambria" w:cstheme="majorBidi"/>
      <w:b/>
      <w:szCs w:val="26"/>
    </w:rPr>
  </w:style>
  <w:style w:type="character" w:customStyle="1" w:styleId="berschrift3Zchn">
    <w:name w:val="Überschrift 3 Zchn"/>
    <w:basedOn w:val="Absatz-Standardschriftart"/>
    <w:link w:val="berschrift3"/>
    <w:uiPriority w:val="9"/>
    <w:semiHidden/>
    <w:rsid w:val="00BB2581"/>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BB2581"/>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BB2581"/>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BB258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BB258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BB258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B2581"/>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D24441"/>
    <w:pPr>
      <w:numPr>
        <w:numId w:val="0"/>
      </w:numPr>
      <w:spacing w:after="0" w:line="259" w:lineRule="auto"/>
      <w:outlineLvl w:val="9"/>
    </w:pPr>
    <w:rPr>
      <w:rFonts w:asciiTheme="majorHAnsi" w:hAnsiTheme="majorHAnsi"/>
      <w:b w:val="0"/>
      <w:color w:val="2E74B5" w:themeColor="accent1" w:themeShade="BF"/>
      <w:sz w:val="32"/>
      <w:lang w:eastAsia="de-DE"/>
    </w:rPr>
  </w:style>
  <w:style w:type="paragraph" w:styleId="Verzeichnis1">
    <w:name w:val="toc 1"/>
    <w:basedOn w:val="Standard"/>
    <w:next w:val="Standard"/>
    <w:autoRedefine/>
    <w:uiPriority w:val="39"/>
    <w:unhideWhenUsed/>
    <w:rsid w:val="006F12ED"/>
    <w:pPr>
      <w:tabs>
        <w:tab w:val="left" w:pos="880"/>
        <w:tab w:val="right" w:leader="dot" w:pos="9062"/>
      </w:tabs>
      <w:ind w:left="794" w:hanging="368"/>
    </w:pPr>
    <w:rPr>
      <w:sz w:val="20"/>
    </w:rPr>
  </w:style>
  <w:style w:type="paragraph" w:styleId="Verzeichnis2">
    <w:name w:val="toc 2"/>
    <w:basedOn w:val="Standard"/>
    <w:next w:val="Standard"/>
    <w:autoRedefine/>
    <w:uiPriority w:val="39"/>
    <w:unhideWhenUsed/>
    <w:rsid w:val="00D24441"/>
    <w:pPr>
      <w:spacing w:after="100"/>
      <w:ind w:left="220"/>
    </w:pPr>
  </w:style>
  <w:style w:type="character" w:styleId="Hyperlink">
    <w:name w:val="Hyperlink"/>
    <w:basedOn w:val="Absatz-Standardschriftart"/>
    <w:uiPriority w:val="99"/>
    <w:unhideWhenUsed/>
    <w:rsid w:val="00D24441"/>
    <w:rPr>
      <w:color w:val="0563C1" w:themeColor="hyperlink"/>
      <w:u w:val="single"/>
    </w:rPr>
  </w:style>
  <w:style w:type="paragraph" w:styleId="Titel">
    <w:name w:val="Title"/>
    <w:basedOn w:val="Standard"/>
    <w:next w:val="Standard"/>
    <w:link w:val="TitelZchn"/>
    <w:uiPriority w:val="10"/>
    <w:qFormat/>
    <w:rsid w:val="00541234"/>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41234"/>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956DAF"/>
    <w:rPr>
      <w:b/>
      <w:bCs/>
    </w:rPr>
  </w:style>
  <w:style w:type="paragraph" w:styleId="Sprechblasentext">
    <w:name w:val="Balloon Text"/>
    <w:basedOn w:val="Standard"/>
    <w:link w:val="SprechblasentextZchn"/>
    <w:uiPriority w:val="99"/>
    <w:semiHidden/>
    <w:unhideWhenUsed/>
    <w:rsid w:val="009D159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1590"/>
    <w:rPr>
      <w:rFonts w:ascii="Segoe UI" w:eastAsia="Calibri" w:hAnsi="Segoe UI" w:cs="Segoe UI"/>
      <w:sz w:val="18"/>
      <w:szCs w:val="18"/>
    </w:rPr>
  </w:style>
  <w:style w:type="paragraph" w:customStyle="1" w:styleId="Default">
    <w:name w:val="Default"/>
    <w:rsid w:val="00AA17CD"/>
    <w:pPr>
      <w:autoSpaceDE w:val="0"/>
      <w:autoSpaceDN w:val="0"/>
      <w:adjustRightInd w:val="0"/>
      <w:spacing w:after="0" w:line="240" w:lineRule="auto"/>
    </w:pPr>
    <w:rPr>
      <w:rFonts w:ascii="Times New Roman" w:hAnsi="Times New Roman" w:cs="Times New Roman"/>
      <w:color w:val="000000"/>
      <w:sz w:val="24"/>
      <w:szCs w:val="24"/>
    </w:rPr>
  </w:style>
  <w:style w:type="table" w:styleId="TabelleAktuell">
    <w:name w:val="Table Contemporary"/>
    <w:basedOn w:val="NormaleTabelle"/>
    <w:uiPriority w:val="99"/>
    <w:semiHidden/>
    <w:unhideWhenUsed/>
    <w:rsid w:val="00006F16"/>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erarbeitung">
    <w:name w:val="Revision"/>
    <w:hidden/>
    <w:uiPriority w:val="99"/>
    <w:semiHidden/>
    <w:rsid w:val="00652464"/>
    <w:pPr>
      <w:spacing w:after="0" w:line="240" w:lineRule="auto"/>
    </w:pPr>
    <w:rPr>
      <w:rFonts w:ascii="Cambria" w:eastAsia="Calibri" w:hAnsi="Cambria" w:cs="Times New Roman"/>
    </w:rPr>
  </w:style>
  <w:style w:type="character" w:styleId="Kommentarzeichen">
    <w:name w:val="annotation reference"/>
    <w:basedOn w:val="Absatz-Standardschriftart"/>
    <w:uiPriority w:val="99"/>
    <w:semiHidden/>
    <w:unhideWhenUsed/>
    <w:rsid w:val="00DF7175"/>
    <w:rPr>
      <w:sz w:val="16"/>
      <w:szCs w:val="16"/>
    </w:rPr>
  </w:style>
  <w:style w:type="paragraph" w:styleId="Kommentartext">
    <w:name w:val="annotation text"/>
    <w:basedOn w:val="Standard"/>
    <w:link w:val="KommentartextZchn"/>
    <w:uiPriority w:val="99"/>
    <w:semiHidden/>
    <w:unhideWhenUsed/>
    <w:rsid w:val="00DF7175"/>
    <w:rPr>
      <w:sz w:val="20"/>
      <w:szCs w:val="20"/>
    </w:rPr>
  </w:style>
  <w:style w:type="character" w:customStyle="1" w:styleId="KommentartextZchn">
    <w:name w:val="Kommentartext Zchn"/>
    <w:basedOn w:val="Absatz-Standardschriftart"/>
    <w:link w:val="Kommentartext"/>
    <w:uiPriority w:val="99"/>
    <w:semiHidden/>
    <w:rsid w:val="00DF7175"/>
    <w:rPr>
      <w:rFonts w:ascii="Cambria" w:eastAsia="Calibri"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DF7175"/>
    <w:rPr>
      <w:b/>
      <w:bCs/>
    </w:rPr>
  </w:style>
  <w:style w:type="character" w:customStyle="1" w:styleId="KommentarthemaZchn">
    <w:name w:val="Kommentarthema Zchn"/>
    <w:basedOn w:val="KommentartextZchn"/>
    <w:link w:val="Kommentarthema"/>
    <w:uiPriority w:val="99"/>
    <w:semiHidden/>
    <w:rsid w:val="00DF7175"/>
    <w:rPr>
      <w:rFonts w:ascii="Cambria" w:eastAsia="Calibri" w:hAnsi="Cambria" w:cs="Times New Roman"/>
      <w:b/>
      <w:bCs/>
      <w:sz w:val="20"/>
      <w:szCs w:val="20"/>
    </w:rPr>
  </w:style>
  <w:style w:type="character" w:styleId="BesuchterHyperlink">
    <w:name w:val="FollowedHyperlink"/>
    <w:basedOn w:val="Absatz-Standardschriftart"/>
    <w:uiPriority w:val="99"/>
    <w:semiHidden/>
    <w:unhideWhenUsed/>
    <w:rsid w:val="000C378F"/>
    <w:rPr>
      <w:color w:val="954F72" w:themeColor="followedHyperlink"/>
      <w:u w:val="single"/>
    </w:rPr>
  </w:style>
  <w:style w:type="paragraph" w:styleId="KeinLeerraum">
    <w:name w:val="No Spacing"/>
    <w:uiPriority w:val="1"/>
    <w:qFormat/>
    <w:rsid w:val="003B6450"/>
    <w:pPr>
      <w:spacing w:after="0" w:line="240" w:lineRule="auto"/>
      <w:jc w:val="both"/>
    </w:pPr>
    <w:rPr>
      <w:rFonts w:ascii="Cambria" w:eastAsia="Calibri" w:hAnsi="Cambria" w:cs="Times New Roman"/>
    </w:rPr>
  </w:style>
  <w:style w:type="table" w:customStyle="1" w:styleId="ListTable2Accent1">
    <w:name w:val="List Table 2 Accent 1"/>
    <w:basedOn w:val="NormaleTabelle"/>
    <w:uiPriority w:val="47"/>
    <w:rsid w:val="008026BB"/>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tandard06-rot-fett">
    <w:name w:val="Standard06 - rot - fett"/>
    <w:basedOn w:val="Standard"/>
    <w:link w:val="Standard06-rot-fettZchn"/>
    <w:qFormat/>
    <w:rsid w:val="008026BB"/>
    <w:pPr>
      <w:spacing w:before="0" w:after="0" w:line="276" w:lineRule="auto"/>
    </w:pPr>
    <w:rPr>
      <w:rFonts w:ascii="Arial" w:eastAsiaTheme="minorHAnsi" w:hAnsi="Arial" w:cstheme="minorBidi"/>
      <w:b/>
      <w:color w:val="FF0000"/>
    </w:rPr>
  </w:style>
  <w:style w:type="character" w:customStyle="1" w:styleId="Standard06-rot-fettZchn">
    <w:name w:val="Standard06 - rot - fett Zchn"/>
    <w:basedOn w:val="Absatz-Standardschriftart"/>
    <w:link w:val="Standard06-rot-fett"/>
    <w:rsid w:val="008026BB"/>
    <w:rPr>
      <w:rFonts w:ascii="Arial" w:hAnsi="Arial"/>
      <w:b/>
      <w:color w:val="FF0000"/>
    </w:rPr>
  </w:style>
  <w:style w:type="character" w:styleId="Hervorhebung">
    <w:name w:val="Emphasis"/>
    <w:basedOn w:val="Absatz-Standardschriftart"/>
    <w:uiPriority w:val="20"/>
    <w:qFormat/>
    <w:rsid w:val="00DD62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6543">
      <w:bodyDiv w:val="1"/>
      <w:marLeft w:val="0"/>
      <w:marRight w:val="0"/>
      <w:marTop w:val="0"/>
      <w:marBottom w:val="0"/>
      <w:divBdr>
        <w:top w:val="none" w:sz="0" w:space="0" w:color="auto"/>
        <w:left w:val="none" w:sz="0" w:space="0" w:color="auto"/>
        <w:bottom w:val="none" w:sz="0" w:space="0" w:color="auto"/>
        <w:right w:val="none" w:sz="0" w:space="0" w:color="auto"/>
      </w:divBdr>
    </w:div>
    <w:div w:id="86200664">
      <w:bodyDiv w:val="1"/>
      <w:marLeft w:val="0"/>
      <w:marRight w:val="0"/>
      <w:marTop w:val="0"/>
      <w:marBottom w:val="0"/>
      <w:divBdr>
        <w:top w:val="none" w:sz="0" w:space="0" w:color="auto"/>
        <w:left w:val="none" w:sz="0" w:space="0" w:color="auto"/>
        <w:bottom w:val="none" w:sz="0" w:space="0" w:color="auto"/>
        <w:right w:val="none" w:sz="0" w:space="0" w:color="auto"/>
      </w:divBdr>
    </w:div>
    <w:div w:id="314842653">
      <w:bodyDiv w:val="1"/>
      <w:marLeft w:val="0"/>
      <w:marRight w:val="0"/>
      <w:marTop w:val="0"/>
      <w:marBottom w:val="0"/>
      <w:divBdr>
        <w:top w:val="none" w:sz="0" w:space="0" w:color="auto"/>
        <w:left w:val="none" w:sz="0" w:space="0" w:color="auto"/>
        <w:bottom w:val="none" w:sz="0" w:space="0" w:color="auto"/>
        <w:right w:val="none" w:sz="0" w:space="0" w:color="auto"/>
      </w:divBdr>
      <w:divsChild>
        <w:div w:id="366837576">
          <w:marLeft w:val="0"/>
          <w:marRight w:val="0"/>
          <w:marTop w:val="0"/>
          <w:marBottom w:val="0"/>
          <w:divBdr>
            <w:top w:val="none" w:sz="0" w:space="0" w:color="auto"/>
            <w:left w:val="none" w:sz="0" w:space="0" w:color="auto"/>
            <w:bottom w:val="none" w:sz="0" w:space="0" w:color="auto"/>
            <w:right w:val="none" w:sz="0" w:space="0" w:color="auto"/>
          </w:divBdr>
        </w:div>
      </w:divsChild>
    </w:div>
    <w:div w:id="320041681">
      <w:bodyDiv w:val="1"/>
      <w:marLeft w:val="0"/>
      <w:marRight w:val="0"/>
      <w:marTop w:val="0"/>
      <w:marBottom w:val="0"/>
      <w:divBdr>
        <w:top w:val="none" w:sz="0" w:space="0" w:color="auto"/>
        <w:left w:val="none" w:sz="0" w:space="0" w:color="auto"/>
        <w:bottom w:val="none" w:sz="0" w:space="0" w:color="auto"/>
        <w:right w:val="none" w:sz="0" w:space="0" w:color="auto"/>
      </w:divBdr>
    </w:div>
    <w:div w:id="320934967">
      <w:bodyDiv w:val="1"/>
      <w:marLeft w:val="0"/>
      <w:marRight w:val="0"/>
      <w:marTop w:val="0"/>
      <w:marBottom w:val="0"/>
      <w:divBdr>
        <w:top w:val="none" w:sz="0" w:space="0" w:color="auto"/>
        <w:left w:val="none" w:sz="0" w:space="0" w:color="auto"/>
        <w:bottom w:val="none" w:sz="0" w:space="0" w:color="auto"/>
        <w:right w:val="none" w:sz="0" w:space="0" w:color="auto"/>
      </w:divBdr>
    </w:div>
    <w:div w:id="450591373">
      <w:bodyDiv w:val="1"/>
      <w:marLeft w:val="0"/>
      <w:marRight w:val="0"/>
      <w:marTop w:val="0"/>
      <w:marBottom w:val="0"/>
      <w:divBdr>
        <w:top w:val="none" w:sz="0" w:space="0" w:color="auto"/>
        <w:left w:val="none" w:sz="0" w:space="0" w:color="auto"/>
        <w:bottom w:val="none" w:sz="0" w:space="0" w:color="auto"/>
        <w:right w:val="none" w:sz="0" w:space="0" w:color="auto"/>
      </w:divBdr>
      <w:divsChild>
        <w:div w:id="613050546">
          <w:marLeft w:val="0"/>
          <w:marRight w:val="0"/>
          <w:marTop w:val="0"/>
          <w:marBottom w:val="0"/>
          <w:divBdr>
            <w:top w:val="none" w:sz="0" w:space="0" w:color="auto"/>
            <w:left w:val="none" w:sz="0" w:space="0" w:color="auto"/>
            <w:bottom w:val="none" w:sz="0" w:space="0" w:color="auto"/>
            <w:right w:val="none" w:sz="0" w:space="0" w:color="auto"/>
          </w:divBdr>
        </w:div>
      </w:divsChild>
    </w:div>
    <w:div w:id="551969033">
      <w:bodyDiv w:val="1"/>
      <w:marLeft w:val="0"/>
      <w:marRight w:val="0"/>
      <w:marTop w:val="0"/>
      <w:marBottom w:val="0"/>
      <w:divBdr>
        <w:top w:val="none" w:sz="0" w:space="0" w:color="auto"/>
        <w:left w:val="none" w:sz="0" w:space="0" w:color="auto"/>
        <w:bottom w:val="none" w:sz="0" w:space="0" w:color="auto"/>
        <w:right w:val="none" w:sz="0" w:space="0" w:color="auto"/>
      </w:divBdr>
      <w:divsChild>
        <w:div w:id="763964102">
          <w:marLeft w:val="0"/>
          <w:marRight w:val="0"/>
          <w:marTop w:val="0"/>
          <w:marBottom w:val="0"/>
          <w:divBdr>
            <w:top w:val="none" w:sz="0" w:space="0" w:color="auto"/>
            <w:left w:val="none" w:sz="0" w:space="0" w:color="auto"/>
            <w:bottom w:val="none" w:sz="0" w:space="0" w:color="auto"/>
            <w:right w:val="none" w:sz="0" w:space="0" w:color="auto"/>
          </w:divBdr>
        </w:div>
        <w:div w:id="81992578">
          <w:marLeft w:val="0"/>
          <w:marRight w:val="0"/>
          <w:marTop w:val="0"/>
          <w:marBottom w:val="0"/>
          <w:divBdr>
            <w:top w:val="none" w:sz="0" w:space="0" w:color="auto"/>
            <w:left w:val="none" w:sz="0" w:space="0" w:color="auto"/>
            <w:bottom w:val="none" w:sz="0" w:space="0" w:color="auto"/>
            <w:right w:val="none" w:sz="0" w:space="0" w:color="auto"/>
          </w:divBdr>
        </w:div>
        <w:div w:id="1761103306">
          <w:marLeft w:val="0"/>
          <w:marRight w:val="0"/>
          <w:marTop w:val="0"/>
          <w:marBottom w:val="0"/>
          <w:divBdr>
            <w:top w:val="none" w:sz="0" w:space="0" w:color="auto"/>
            <w:left w:val="none" w:sz="0" w:space="0" w:color="auto"/>
            <w:bottom w:val="none" w:sz="0" w:space="0" w:color="auto"/>
            <w:right w:val="none" w:sz="0" w:space="0" w:color="auto"/>
          </w:divBdr>
        </w:div>
        <w:div w:id="1750685914">
          <w:marLeft w:val="0"/>
          <w:marRight w:val="0"/>
          <w:marTop w:val="0"/>
          <w:marBottom w:val="0"/>
          <w:divBdr>
            <w:top w:val="none" w:sz="0" w:space="0" w:color="auto"/>
            <w:left w:val="none" w:sz="0" w:space="0" w:color="auto"/>
            <w:bottom w:val="none" w:sz="0" w:space="0" w:color="auto"/>
            <w:right w:val="none" w:sz="0" w:space="0" w:color="auto"/>
          </w:divBdr>
        </w:div>
        <w:div w:id="945775781">
          <w:marLeft w:val="0"/>
          <w:marRight w:val="0"/>
          <w:marTop w:val="0"/>
          <w:marBottom w:val="0"/>
          <w:divBdr>
            <w:top w:val="none" w:sz="0" w:space="0" w:color="auto"/>
            <w:left w:val="none" w:sz="0" w:space="0" w:color="auto"/>
            <w:bottom w:val="none" w:sz="0" w:space="0" w:color="auto"/>
            <w:right w:val="none" w:sz="0" w:space="0" w:color="auto"/>
          </w:divBdr>
        </w:div>
        <w:div w:id="926814797">
          <w:marLeft w:val="0"/>
          <w:marRight w:val="0"/>
          <w:marTop w:val="0"/>
          <w:marBottom w:val="0"/>
          <w:divBdr>
            <w:top w:val="none" w:sz="0" w:space="0" w:color="auto"/>
            <w:left w:val="none" w:sz="0" w:space="0" w:color="auto"/>
            <w:bottom w:val="none" w:sz="0" w:space="0" w:color="auto"/>
            <w:right w:val="none" w:sz="0" w:space="0" w:color="auto"/>
          </w:divBdr>
        </w:div>
        <w:div w:id="753353935">
          <w:marLeft w:val="0"/>
          <w:marRight w:val="0"/>
          <w:marTop w:val="0"/>
          <w:marBottom w:val="0"/>
          <w:divBdr>
            <w:top w:val="none" w:sz="0" w:space="0" w:color="auto"/>
            <w:left w:val="none" w:sz="0" w:space="0" w:color="auto"/>
            <w:bottom w:val="none" w:sz="0" w:space="0" w:color="auto"/>
            <w:right w:val="none" w:sz="0" w:space="0" w:color="auto"/>
          </w:divBdr>
        </w:div>
        <w:div w:id="1326979321">
          <w:marLeft w:val="0"/>
          <w:marRight w:val="0"/>
          <w:marTop w:val="0"/>
          <w:marBottom w:val="0"/>
          <w:divBdr>
            <w:top w:val="none" w:sz="0" w:space="0" w:color="auto"/>
            <w:left w:val="none" w:sz="0" w:space="0" w:color="auto"/>
            <w:bottom w:val="none" w:sz="0" w:space="0" w:color="auto"/>
            <w:right w:val="none" w:sz="0" w:space="0" w:color="auto"/>
          </w:divBdr>
        </w:div>
        <w:div w:id="703794946">
          <w:marLeft w:val="0"/>
          <w:marRight w:val="0"/>
          <w:marTop w:val="0"/>
          <w:marBottom w:val="0"/>
          <w:divBdr>
            <w:top w:val="none" w:sz="0" w:space="0" w:color="auto"/>
            <w:left w:val="none" w:sz="0" w:space="0" w:color="auto"/>
            <w:bottom w:val="none" w:sz="0" w:space="0" w:color="auto"/>
            <w:right w:val="none" w:sz="0" w:space="0" w:color="auto"/>
          </w:divBdr>
        </w:div>
        <w:div w:id="1552767642">
          <w:marLeft w:val="0"/>
          <w:marRight w:val="0"/>
          <w:marTop w:val="0"/>
          <w:marBottom w:val="0"/>
          <w:divBdr>
            <w:top w:val="none" w:sz="0" w:space="0" w:color="auto"/>
            <w:left w:val="none" w:sz="0" w:space="0" w:color="auto"/>
            <w:bottom w:val="none" w:sz="0" w:space="0" w:color="auto"/>
            <w:right w:val="none" w:sz="0" w:space="0" w:color="auto"/>
          </w:divBdr>
        </w:div>
        <w:div w:id="1464303191">
          <w:marLeft w:val="0"/>
          <w:marRight w:val="0"/>
          <w:marTop w:val="0"/>
          <w:marBottom w:val="0"/>
          <w:divBdr>
            <w:top w:val="none" w:sz="0" w:space="0" w:color="auto"/>
            <w:left w:val="none" w:sz="0" w:space="0" w:color="auto"/>
            <w:bottom w:val="none" w:sz="0" w:space="0" w:color="auto"/>
            <w:right w:val="none" w:sz="0" w:space="0" w:color="auto"/>
          </w:divBdr>
        </w:div>
        <w:div w:id="1787576059">
          <w:marLeft w:val="0"/>
          <w:marRight w:val="0"/>
          <w:marTop w:val="0"/>
          <w:marBottom w:val="0"/>
          <w:divBdr>
            <w:top w:val="none" w:sz="0" w:space="0" w:color="auto"/>
            <w:left w:val="none" w:sz="0" w:space="0" w:color="auto"/>
            <w:bottom w:val="none" w:sz="0" w:space="0" w:color="auto"/>
            <w:right w:val="none" w:sz="0" w:space="0" w:color="auto"/>
          </w:divBdr>
        </w:div>
        <w:div w:id="840239007">
          <w:marLeft w:val="0"/>
          <w:marRight w:val="0"/>
          <w:marTop w:val="0"/>
          <w:marBottom w:val="0"/>
          <w:divBdr>
            <w:top w:val="none" w:sz="0" w:space="0" w:color="auto"/>
            <w:left w:val="none" w:sz="0" w:space="0" w:color="auto"/>
            <w:bottom w:val="none" w:sz="0" w:space="0" w:color="auto"/>
            <w:right w:val="none" w:sz="0" w:space="0" w:color="auto"/>
          </w:divBdr>
        </w:div>
        <w:div w:id="1726488510">
          <w:marLeft w:val="0"/>
          <w:marRight w:val="0"/>
          <w:marTop w:val="0"/>
          <w:marBottom w:val="0"/>
          <w:divBdr>
            <w:top w:val="none" w:sz="0" w:space="0" w:color="auto"/>
            <w:left w:val="none" w:sz="0" w:space="0" w:color="auto"/>
            <w:bottom w:val="none" w:sz="0" w:space="0" w:color="auto"/>
            <w:right w:val="none" w:sz="0" w:space="0" w:color="auto"/>
          </w:divBdr>
        </w:div>
        <w:div w:id="1163008506">
          <w:marLeft w:val="0"/>
          <w:marRight w:val="0"/>
          <w:marTop w:val="0"/>
          <w:marBottom w:val="0"/>
          <w:divBdr>
            <w:top w:val="none" w:sz="0" w:space="0" w:color="auto"/>
            <w:left w:val="none" w:sz="0" w:space="0" w:color="auto"/>
            <w:bottom w:val="none" w:sz="0" w:space="0" w:color="auto"/>
            <w:right w:val="none" w:sz="0" w:space="0" w:color="auto"/>
          </w:divBdr>
        </w:div>
        <w:div w:id="498160713">
          <w:marLeft w:val="0"/>
          <w:marRight w:val="0"/>
          <w:marTop w:val="0"/>
          <w:marBottom w:val="0"/>
          <w:divBdr>
            <w:top w:val="none" w:sz="0" w:space="0" w:color="auto"/>
            <w:left w:val="none" w:sz="0" w:space="0" w:color="auto"/>
            <w:bottom w:val="none" w:sz="0" w:space="0" w:color="auto"/>
            <w:right w:val="none" w:sz="0" w:space="0" w:color="auto"/>
          </w:divBdr>
        </w:div>
        <w:div w:id="61876361">
          <w:marLeft w:val="0"/>
          <w:marRight w:val="0"/>
          <w:marTop w:val="0"/>
          <w:marBottom w:val="0"/>
          <w:divBdr>
            <w:top w:val="none" w:sz="0" w:space="0" w:color="auto"/>
            <w:left w:val="none" w:sz="0" w:space="0" w:color="auto"/>
            <w:bottom w:val="none" w:sz="0" w:space="0" w:color="auto"/>
            <w:right w:val="none" w:sz="0" w:space="0" w:color="auto"/>
          </w:divBdr>
        </w:div>
        <w:div w:id="526137370">
          <w:marLeft w:val="0"/>
          <w:marRight w:val="0"/>
          <w:marTop w:val="0"/>
          <w:marBottom w:val="0"/>
          <w:divBdr>
            <w:top w:val="none" w:sz="0" w:space="0" w:color="auto"/>
            <w:left w:val="none" w:sz="0" w:space="0" w:color="auto"/>
            <w:bottom w:val="none" w:sz="0" w:space="0" w:color="auto"/>
            <w:right w:val="none" w:sz="0" w:space="0" w:color="auto"/>
          </w:divBdr>
        </w:div>
        <w:div w:id="1684161952">
          <w:marLeft w:val="0"/>
          <w:marRight w:val="0"/>
          <w:marTop w:val="0"/>
          <w:marBottom w:val="0"/>
          <w:divBdr>
            <w:top w:val="none" w:sz="0" w:space="0" w:color="auto"/>
            <w:left w:val="none" w:sz="0" w:space="0" w:color="auto"/>
            <w:bottom w:val="none" w:sz="0" w:space="0" w:color="auto"/>
            <w:right w:val="none" w:sz="0" w:space="0" w:color="auto"/>
          </w:divBdr>
        </w:div>
        <w:div w:id="499319480">
          <w:marLeft w:val="0"/>
          <w:marRight w:val="0"/>
          <w:marTop w:val="0"/>
          <w:marBottom w:val="0"/>
          <w:divBdr>
            <w:top w:val="none" w:sz="0" w:space="0" w:color="auto"/>
            <w:left w:val="none" w:sz="0" w:space="0" w:color="auto"/>
            <w:bottom w:val="none" w:sz="0" w:space="0" w:color="auto"/>
            <w:right w:val="none" w:sz="0" w:space="0" w:color="auto"/>
          </w:divBdr>
        </w:div>
        <w:div w:id="1472669442">
          <w:marLeft w:val="0"/>
          <w:marRight w:val="0"/>
          <w:marTop w:val="0"/>
          <w:marBottom w:val="0"/>
          <w:divBdr>
            <w:top w:val="none" w:sz="0" w:space="0" w:color="auto"/>
            <w:left w:val="none" w:sz="0" w:space="0" w:color="auto"/>
            <w:bottom w:val="none" w:sz="0" w:space="0" w:color="auto"/>
            <w:right w:val="none" w:sz="0" w:space="0" w:color="auto"/>
          </w:divBdr>
        </w:div>
        <w:div w:id="2021619579">
          <w:marLeft w:val="0"/>
          <w:marRight w:val="0"/>
          <w:marTop w:val="0"/>
          <w:marBottom w:val="0"/>
          <w:divBdr>
            <w:top w:val="none" w:sz="0" w:space="0" w:color="auto"/>
            <w:left w:val="none" w:sz="0" w:space="0" w:color="auto"/>
            <w:bottom w:val="none" w:sz="0" w:space="0" w:color="auto"/>
            <w:right w:val="none" w:sz="0" w:space="0" w:color="auto"/>
          </w:divBdr>
        </w:div>
        <w:div w:id="1408453539">
          <w:marLeft w:val="0"/>
          <w:marRight w:val="0"/>
          <w:marTop w:val="0"/>
          <w:marBottom w:val="0"/>
          <w:divBdr>
            <w:top w:val="none" w:sz="0" w:space="0" w:color="auto"/>
            <w:left w:val="none" w:sz="0" w:space="0" w:color="auto"/>
            <w:bottom w:val="none" w:sz="0" w:space="0" w:color="auto"/>
            <w:right w:val="none" w:sz="0" w:space="0" w:color="auto"/>
          </w:divBdr>
        </w:div>
        <w:div w:id="1165241981">
          <w:marLeft w:val="0"/>
          <w:marRight w:val="0"/>
          <w:marTop w:val="0"/>
          <w:marBottom w:val="0"/>
          <w:divBdr>
            <w:top w:val="none" w:sz="0" w:space="0" w:color="auto"/>
            <w:left w:val="none" w:sz="0" w:space="0" w:color="auto"/>
            <w:bottom w:val="none" w:sz="0" w:space="0" w:color="auto"/>
            <w:right w:val="none" w:sz="0" w:space="0" w:color="auto"/>
          </w:divBdr>
        </w:div>
        <w:div w:id="2129081944">
          <w:marLeft w:val="0"/>
          <w:marRight w:val="0"/>
          <w:marTop w:val="0"/>
          <w:marBottom w:val="0"/>
          <w:divBdr>
            <w:top w:val="none" w:sz="0" w:space="0" w:color="auto"/>
            <w:left w:val="none" w:sz="0" w:space="0" w:color="auto"/>
            <w:bottom w:val="none" w:sz="0" w:space="0" w:color="auto"/>
            <w:right w:val="none" w:sz="0" w:space="0" w:color="auto"/>
          </w:divBdr>
        </w:div>
        <w:div w:id="1392657470">
          <w:marLeft w:val="0"/>
          <w:marRight w:val="0"/>
          <w:marTop w:val="0"/>
          <w:marBottom w:val="0"/>
          <w:divBdr>
            <w:top w:val="none" w:sz="0" w:space="0" w:color="auto"/>
            <w:left w:val="none" w:sz="0" w:space="0" w:color="auto"/>
            <w:bottom w:val="none" w:sz="0" w:space="0" w:color="auto"/>
            <w:right w:val="none" w:sz="0" w:space="0" w:color="auto"/>
          </w:divBdr>
        </w:div>
      </w:divsChild>
    </w:div>
    <w:div w:id="658581113">
      <w:bodyDiv w:val="1"/>
      <w:marLeft w:val="0"/>
      <w:marRight w:val="0"/>
      <w:marTop w:val="0"/>
      <w:marBottom w:val="0"/>
      <w:divBdr>
        <w:top w:val="none" w:sz="0" w:space="0" w:color="auto"/>
        <w:left w:val="none" w:sz="0" w:space="0" w:color="auto"/>
        <w:bottom w:val="none" w:sz="0" w:space="0" w:color="auto"/>
        <w:right w:val="none" w:sz="0" w:space="0" w:color="auto"/>
      </w:divBdr>
    </w:div>
    <w:div w:id="749809732">
      <w:bodyDiv w:val="1"/>
      <w:marLeft w:val="0"/>
      <w:marRight w:val="0"/>
      <w:marTop w:val="0"/>
      <w:marBottom w:val="0"/>
      <w:divBdr>
        <w:top w:val="none" w:sz="0" w:space="0" w:color="auto"/>
        <w:left w:val="none" w:sz="0" w:space="0" w:color="auto"/>
        <w:bottom w:val="none" w:sz="0" w:space="0" w:color="auto"/>
        <w:right w:val="none" w:sz="0" w:space="0" w:color="auto"/>
      </w:divBdr>
    </w:div>
    <w:div w:id="784925895">
      <w:bodyDiv w:val="1"/>
      <w:marLeft w:val="0"/>
      <w:marRight w:val="0"/>
      <w:marTop w:val="0"/>
      <w:marBottom w:val="0"/>
      <w:divBdr>
        <w:top w:val="none" w:sz="0" w:space="0" w:color="auto"/>
        <w:left w:val="none" w:sz="0" w:space="0" w:color="auto"/>
        <w:bottom w:val="none" w:sz="0" w:space="0" w:color="auto"/>
        <w:right w:val="none" w:sz="0" w:space="0" w:color="auto"/>
      </w:divBdr>
    </w:div>
    <w:div w:id="804007549">
      <w:bodyDiv w:val="1"/>
      <w:marLeft w:val="0"/>
      <w:marRight w:val="0"/>
      <w:marTop w:val="0"/>
      <w:marBottom w:val="0"/>
      <w:divBdr>
        <w:top w:val="none" w:sz="0" w:space="0" w:color="auto"/>
        <w:left w:val="none" w:sz="0" w:space="0" w:color="auto"/>
        <w:bottom w:val="none" w:sz="0" w:space="0" w:color="auto"/>
        <w:right w:val="none" w:sz="0" w:space="0" w:color="auto"/>
      </w:divBdr>
    </w:div>
    <w:div w:id="957833895">
      <w:bodyDiv w:val="1"/>
      <w:marLeft w:val="0"/>
      <w:marRight w:val="0"/>
      <w:marTop w:val="0"/>
      <w:marBottom w:val="0"/>
      <w:divBdr>
        <w:top w:val="none" w:sz="0" w:space="0" w:color="auto"/>
        <w:left w:val="none" w:sz="0" w:space="0" w:color="auto"/>
        <w:bottom w:val="none" w:sz="0" w:space="0" w:color="auto"/>
        <w:right w:val="none" w:sz="0" w:space="0" w:color="auto"/>
      </w:divBdr>
      <w:divsChild>
        <w:div w:id="1954432522">
          <w:marLeft w:val="0"/>
          <w:marRight w:val="0"/>
          <w:marTop w:val="0"/>
          <w:marBottom w:val="0"/>
          <w:divBdr>
            <w:top w:val="none" w:sz="0" w:space="0" w:color="auto"/>
            <w:left w:val="none" w:sz="0" w:space="0" w:color="auto"/>
            <w:bottom w:val="none" w:sz="0" w:space="0" w:color="auto"/>
            <w:right w:val="none" w:sz="0" w:space="0" w:color="auto"/>
          </w:divBdr>
        </w:div>
        <w:div w:id="2119635412">
          <w:marLeft w:val="0"/>
          <w:marRight w:val="0"/>
          <w:marTop w:val="0"/>
          <w:marBottom w:val="0"/>
          <w:divBdr>
            <w:top w:val="none" w:sz="0" w:space="0" w:color="auto"/>
            <w:left w:val="none" w:sz="0" w:space="0" w:color="auto"/>
            <w:bottom w:val="none" w:sz="0" w:space="0" w:color="auto"/>
            <w:right w:val="none" w:sz="0" w:space="0" w:color="auto"/>
          </w:divBdr>
        </w:div>
        <w:div w:id="1907255524">
          <w:marLeft w:val="0"/>
          <w:marRight w:val="0"/>
          <w:marTop w:val="0"/>
          <w:marBottom w:val="0"/>
          <w:divBdr>
            <w:top w:val="none" w:sz="0" w:space="0" w:color="auto"/>
            <w:left w:val="none" w:sz="0" w:space="0" w:color="auto"/>
            <w:bottom w:val="none" w:sz="0" w:space="0" w:color="auto"/>
            <w:right w:val="none" w:sz="0" w:space="0" w:color="auto"/>
          </w:divBdr>
        </w:div>
        <w:div w:id="241331874">
          <w:marLeft w:val="0"/>
          <w:marRight w:val="0"/>
          <w:marTop w:val="0"/>
          <w:marBottom w:val="0"/>
          <w:divBdr>
            <w:top w:val="none" w:sz="0" w:space="0" w:color="auto"/>
            <w:left w:val="none" w:sz="0" w:space="0" w:color="auto"/>
            <w:bottom w:val="none" w:sz="0" w:space="0" w:color="auto"/>
            <w:right w:val="none" w:sz="0" w:space="0" w:color="auto"/>
          </w:divBdr>
        </w:div>
        <w:div w:id="1687366013">
          <w:marLeft w:val="0"/>
          <w:marRight w:val="0"/>
          <w:marTop w:val="0"/>
          <w:marBottom w:val="0"/>
          <w:divBdr>
            <w:top w:val="none" w:sz="0" w:space="0" w:color="auto"/>
            <w:left w:val="none" w:sz="0" w:space="0" w:color="auto"/>
            <w:bottom w:val="none" w:sz="0" w:space="0" w:color="auto"/>
            <w:right w:val="none" w:sz="0" w:space="0" w:color="auto"/>
          </w:divBdr>
        </w:div>
      </w:divsChild>
    </w:div>
    <w:div w:id="996227884">
      <w:bodyDiv w:val="1"/>
      <w:marLeft w:val="0"/>
      <w:marRight w:val="0"/>
      <w:marTop w:val="0"/>
      <w:marBottom w:val="0"/>
      <w:divBdr>
        <w:top w:val="none" w:sz="0" w:space="0" w:color="auto"/>
        <w:left w:val="none" w:sz="0" w:space="0" w:color="auto"/>
        <w:bottom w:val="none" w:sz="0" w:space="0" w:color="auto"/>
        <w:right w:val="none" w:sz="0" w:space="0" w:color="auto"/>
      </w:divBdr>
      <w:divsChild>
        <w:div w:id="1568951169">
          <w:marLeft w:val="0"/>
          <w:marRight w:val="0"/>
          <w:marTop w:val="0"/>
          <w:marBottom w:val="0"/>
          <w:divBdr>
            <w:top w:val="none" w:sz="0" w:space="0" w:color="auto"/>
            <w:left w:val="none" w:sz="0" w:space="0" w:color="auto"/>
            <w:bottom w:val="none" w:sz="0" w:space="0" w:color="auto"/>
            <w:right w:val="none" w:sz="0" w:space="0" w:color="auto"/>
          </w:divBdr>
        </w:div>
        <w:div w:id="987780941">
          <w:marLeft w:val="0"/>
          <w:marRight w:val="0"/>
          <w:marTop w:val="0"/>
          <w:marBottom w:val="0"/>
          <w:divBdr>
            <w:top w:val="none" w:sz="0" w:space="0" w:color="auto"/>
            <w:left w:val="none" w:sz="0" w:space="0" w:color="auto"/>
            <w:bottom w:val="none" w:sz="0" w:space="0" w:color="auto"/>
            <w:right w:val="none" w:sz="0" w:space="0" w:color="auto"/>
          </w:divBdr>
        </w:div>
        <w:div w:id="1152020422">
          <w:marLeft w:val="0"/>
          <w:marRight w:val="0"/>
          <w:marTop w:val="0"/>
          <w:marBottom w:val="0"/>
          <w:divBdr>
            <w:top w:val="none" w:sz="0" w:space="0" w:color="auto"/>
            <w:left w:val="none" w:sz="0" w:space="0" w:color="auto"/>
            <w:bottom w:val="none" w:sz="0" w:space="0" w:color="auto"/>
            <w:right w:val="none" w:sz="0" w:space="0" w:color="auto"/>
          </w:divBdr>
        </w:div>
        <w:div w:id="621032066">
          <w:marLeft w:val="0"/>
          <w:marRight w:val="0"/>
          <w:marTop w:val="0"/>
          <w:marBottom w:val="0"/>
          <w:divBdr>
            <w:top w:val="none" w:sz="0" w:space="0" w:color="auto"/>
            <w:left w:val="none" w:sz="0" w:space="0" w:color="auto"/>
            <w:bottom w:val="none" w:sz="0" w:space="0" w:color="auto"/>
            <w:right w:val="none" w:sz="0" w:space="0" w:color="auto"/>
          </w:divBdr>
          <w:divsChild>
            <w:div w:id="443810026">
              <w:marLeft w:val="0"/>
              <w:marRight w:val="0"/>
              <w:marTop w:val="0"/>
              <w:marBottom w:val="0"/>
              <w:divBdr>
                <w:top w:val="none" w:sz="0" w:space="0" w:color="auto"/>
                <w:left w:val="none" w:sz="0" w:space="0" w:color="auto"/>
                <w:bottom w:val="none" w:sz="0" w:space="0" w:color="auto"/>
                <w:right w:val="none" w:sz="0" w:space="0" w:color="auto"/>
              </w:divBdr>
              <w:divsChild>
                <w:div w:id="920023446">
                  <w:marLeft w:val="0"/>
                  <w:marRight w:val="0"/>
                  <w:marTop w:val="0"/>
                  <w:marBottom w:val="0"/>
                  <w:divBdr>
                    <w:top w:val="none" w:sz="0" w:space="0" w:color="auto"/>
                    <w:left w:val="none" w:sz="0" w:space="0" w:color="auto"/>
                    <w:bottom w:val="none" w:sz="0" w:space="0" w:color="auto"/>
                    <w:right w:val="none" w:sz="0" w:space="0" w:color="auto"/>
                  </w:divBdr>
                </w:div>
                <w:div w:id="6218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03728">
      <w:bodyDiv w:val="1"/>
      <w:marLeft w:val="0"/>
      <w:marRight w:val="0"/>
      <w:marTop w:val="0"/>
      <w:marBottom w:val="0"/>
      <w:divBdr>
        <w:top w:val="none" w:sz="0" w:space="0" w:color="auto"/>
        <w:left w:val="none" w:sz="0" w:space="0" w:color="auto"/>
        <w:bottom w:val="none" w:sz="0" w:space="0" w:color="auto"/>
        <w:right w:val="none" w:sz="0" w:space="0" w:color="auto"/>
      </w:divBdr>
      <w:divsChild>
        <w:div w:id="2137142846">
          <w:marLeft w:val="0"/>
          <w:marRight w:val="0"/>
          <w:marTop w:val="0"/>
          <w:marBottom w:val="0"/>
          <w:divBdr>
            <w:top w:val="none" w:sz="0" w:space="0" w:color="auto"/>
            <w:left w:val="none" w:sz="0" w:space="0" w:color="auto"/>
            <w:bottom w:val="none" w:sz="0" w:space="0" w:color="auto"/>
            <w:right w:val="none" w:sz="0" w:space="0" w:color="auto"/>
          </w:divBdr>
        </w:div>
        <w:div w:id="122162676">
          <w:marLeft w:val="0"/>
          <w:marRight w:val="0"/>
          <w:marTop w:val="0"/>
          <w:marBottom w:val="0"/>
          <w:divBdr>
            <w:top w:val="none" w:sz="0" w:space="0" w:color="auto"/>
            <w:left w:val="none" w:sz="0" w:space="0" w:color="auto"/>
            <w:bottom w:val="none" w:sz="0" w:space="0" w:color="auto"/>
            <w:right w:val="none" w:sz="0" w:space="0" w:color="auto"/>
          </w:divBdr>
        </w:div>
        <w:div w:id="1242060201">
          <w:marLeft w:val="0"/>
          <w:marRight w:val="0"/>
          <w:marTop w:val="0"/>
          <w:marBottom w:val="0"/>
          <w:divBdr>
            <w:top w:val="none" w:sz="0" w:space="0" w:color="auto"/>
            <w:left w:val="none" w:sz="0" w:space="0" w:color="auto"/>
            <w:bottom w:val="none" w:sz="0" w:space="0" w:color="auto"/>
            <w:right w:val="none" w:sz="0" w:space="0" w:color="auto"/>
          </w:divBdr>
        </w:div>
        <w:div w:id="1708993149">
          <w:marLeft w:val="0"/>
          <w:marRight w:val="0"/>
          <w:marTop w:val="0"/>
          <w:marBottom w:val="0"/>
          <w:divBdr>
            <w:top w:val="none" w:sz="0" w:space="0" w:color="auto"/>
            <w:left w:val="none" w:sz="0" w:space="0" w:color="auto"/>
            <w:bottom w:val="none" w:sz="0" w:space="0" w:color="auto"/>
            <w:right w:val="none" w:sz="0" w:space="0" w:color="auto"/>
          </w:divBdr>
        </w:div>
        <w:div w:id="242758407">
          <w:marLeft w:val="0"/>
          <w:marRight w:val="0"/>
          <w:marTop w:val="0"/>
          <w:marBottom w:val="0"/>
          <w:divBdr>
            <w:top w:val="none" w:sz="0" w:space="0" w:color="auto"/>
            <w:left w:val="none" w:sz="0" w:space="0" w:color="auto"/>
            <w:bottom w:val="none" w:sz="0" w:space="0" w:color="auto"/>
            <w:right w:val="none" w:sz="0" w:space="0" w:color="auto"/>
          </w:divBdr>
        </w:div>
        <w:div w:id="570430182">
          <w:marLeft w:val="0"/>
          <w:marRight w:val="0"/>
          <w:marTop w:val="0"/>
          <w:marBottom w:val="0"/>
          <w:divBdr>
            <w:top w:val="none" w:sz="0" w:space="0" w:color="auto"/>
            <w:left w:val="none" w:sz="0" w:space="0" w:color="auto"/>
            <w:bottom w:val="none" w:sz="0" w:space="0" w:color="auto"/>
            <w:right w:val="none" w:sz="0" w:space="0" w:color="auto"/>
          </w:divBdr>
        </w:div>
        <w:div w:id="401954788">
          <w:marLeft w:val="0"/>
          <w:marRight w:val="0"/>
          <w:marTop w:val="0"/>
          <w:marBottom w:val="0"/>
          <w:divBdr>
            <w:top w:val="none" w:sz="0" w:space="0" w:color="auto"/>
            <w:left w:val="none" w:sz="0" w:space="0" w:color="auto"/>
            <w:bottom w:val="none" w:sz="0" w:space="0" w:color="auto"/>
            <w:right w:val="none" w:sz="0" w:space="0" w:color="auto"/>
          </w:divBdr>
        </w:div>
        <w:div w:id="1863469619">
          <w:marLeft w:val="0"/>
          <w:marRight w:val="0"/>
          <w:marTop w:val="0"/>
          <w:marBottom w:val="0"/>
          <w:divBdr>
            <w:top w:val="none" w:sz="0" w:space="0" w:color="auto"/>
            <w:left w:val="none" w:sz="0" w:space="0" w:color="auto"/>
            <w:bottom w:val="none" w:sz="0" w:space="0" w:color="auto"/>
            <w:right w:val="none" w:sz="0" w:space="0" w:color="auto"/>
          </w:divBdr>
        </w:div>
      </w:divsChild>
    </w:div>
    <w:div w:id="1092555842">
      <w:bodyDiv w:val="1"/>
      <w:marLeft w:val="0"/>
      <w:marRight w:val="0"/>
      <w:marTop w:val="0"/>
      <w:marBottom w:val="0"/>
      <w:divBdr>
        <w:top w:val="none" w:sz="0" w:space="0" w:color="auto"/>
        <w:left w:val="none" w:sz="0" w:space="0" w:color="auto"/>
        <w:bottom w:val="none" w:sz="0" w:space="0" w:color="auto"/>
        <w:right w:val="none" w:sz="0" w:space="0" w:color="auto"/>
      </w:divBdr>
    </w:div>
    <w:div w:id="1164933594">
      <w:bodyDiv w:val="1"/>
      <w:marLeft w:val="0"/>
      <w:marRight w:val="0"/>
      <w:marTop w:val="0"/>
      <w:marBottom w:val="0"/>
      <w:divBdr>
        <w:top w:val="none" w:sz="0" w:space="0" w:color="auto"/>
        <w:left w:val="none" w:sz="0" w:space="0" w:color="auto"/>
        <w:bottom w:val="none" w:sz="0" w:space="0" w:color="auto"/>
        <w:right w:val="none" w:sz="0" w:space="0" w:color="auto"/>
      </w:divBdr>
      <w:divsChild>
        <w:div w:id="23483199">
          <w:marLeft w:val="0"/>
          <w:marRight w:val="0"/>
          <w:marTop w:val="0"/>
          <w:marBottom w:val="0"/>
          <w:divBdr>
            <w:top w:val="none" w:sz="0" w:space="0" w:color="auto"/>
            <w:left w:val="none" w:sz="0" w:space="0" w:color="auto"/>
            <w:bottom w:val="none" w:sz="0" w:space="0" w:color="auto"/>
            <w:right w:val="none" w:sz="0" w:space="0" w:color="auto"/>
          </w:divBdr>
        </w:div>
      </w:divsChild>
    </w:div>
    <w:div w:id="1188718669">
      <w:bodyDiv w:val="1"/>
      <w:marLeft w:val="0"/>
      <w:marRight w:val="0"/>
      <w:marTop w:val="0"/>
      <w:marBottom w:val="0"/>
      <w:divBdr>
        <w:top w:val="none" w:sz="0" w:space="0" w:color="auto"/>
        <w:left w:val="none" w:sz="0" w:space="0" w:color="auto"/>
        <w:bottom w:val="none" w:sz="0" w:space="0" w:color="auto"/>
        <w:right w:val="none" w:sz="0" w:space="0" w:color="auto"/>
      </w:divBdr>
      <w:divsChild>
        <w:div w:id="1487044005">
          <w:marLeft w:val="0"/>
          <w:marRight w:val="0"/>
          <w:marTop w:val="0"/>
          <w:marBottom w:val="0"/>
          <w:divBdr>
            <w:top w:val="none" w:sz="0" w:space="0" w:color="auto"/>
            <w:left w:val="none" w:sz="0" w:space="0" w:color="auto"/>
            <w:bottom w:val="none" w:sz="0" w:space="0" w:color="auto"/>
            <w:right w:val="none" w:sz="0" w:space="0" w:color="auto"/>
          </w:divBdr>
        </w:div>
      </w:divsChild>
    </w:div>
    <w:div w:id="1216239001">
      <w:bodyDiv w:val="1"/>
      <w:marLeft w:val="0"/>
      <w:marRight w:val="0"/>
      <w:marTop w:val="0"/>
      <w:marBottom w:val="0"/>
      <w:divBdr>
        <w:top w:val="none" w:sz="0" w:space="0" w:color="auto"/>
        <w:left w:val="none" w:sz="0" w:space="0" w:color="auto"/>
        <w:bottom w:val="none" w:sz="0" w:space="0" w:color="auto"/>
        <w:right w:val="none" w:sz="0" w:space="0" w:color="auto"/>
      </w:divBdr>
      <w:divsChild>
        <w:div w:id="1969511546">
          <w:marLeft w:val="0"/>
          <w:marRight w:val="0"/>
          <w:marTop w:val="0"/>
          <w:marBottom w:val="0"/>
          <w:divBdr>
            <w:top w:val="none" w:sz="0" w:space="0" w:color="auto"/>
            <w:left w:val="none" w:sz="0" w:space="0" w:color="auto"/>
            <w:bottom w:val="none" w:sz="0" w:space="0" w:color="auto"/>
            <w:right w:val="none" w:sz="0" w:space="0" w:color="auto"/>
          </w:divBdr>
        </w:div>
      </w:divsChild>
    </w:div>
    <w:div w:id="1222599017">
      <w:bodyDiv w:val="1"/>
      <w:marLeft w:val="0"/>
      <w:marRight w:val="0"/>
      <w:marTop w:val="0"/>
      <w:marBottom w:val="0"/>
      <w:divBdr>
        <w:top w:val="none" w:sz="0" w:space="0" w:color="auto"/>
        <w:left w:val="none" w:sz="0" w:space="0" w:color="auto"/>
        <w:bottom w:val="none" w:sz="0" w:space="0" w:color="auto"/>
        <w:right w:val="none" w:sz="0" w:space="0" w:color="auto"/>
      </w:divBdr>
    </w:div>
    <w:div w:id="1249388102">
      <w:bodyDiv w:val="1"/>
      <w:marLeft w:val="0"/>
      <w:marRight w:val="0"/>
      <w:marTop w:val="0"/>
      <w:marBottom w:val="0"/>
      <w:divBdr>
        <w:top w:val="none" w:sz="0" w:space="0" w:color="auto"/>
        <w:left w:val="none" w:sz="0" w:space="0" w:color="auto"/>
        <w:bottom w:val="none" w:sz="0" w:space="0" w:color="auto"/>
        <w:right w:val="none" w:sz="0" w:space="0" w:color="auto"/>
      </w:divBdr>
      <w:divsChild>
        <w:div w:id="455803892">
          <w:marLeft w:val="0"/>
          <w:marRight w:val="0"/>
          <w:marTop w:val="0"/>
          <w:marBottom w:val="0"/>
          <w:divBdr>
            <w:top w:val="none" w:sz="0" w:space="0" w:color="auto"/>
            <w:left w:val="none" w:sz="0" w:space="0" w:color="auto"/>
            <w:bottom w:val="none" w:sz="0" w:space="0" w:color="auto"/>
            <w:right w:val="none" w:sz="0" w:space="0" w:color="auto"/>
          </w:divBdr>
        </w:div>
        <w:div w:id="902981295">
          <w:marLeft w:val="0"/>
          <w:marRight w:val="0"/>
          <w:marTop w:val="0"/>
          <w:marBottom w:val="0"/>
          <w:divBdr>
            <w:top w:val="none" w:sz="0" w:space="0" w:color="auto"/>
            <w:left w:val="none" w:sz="0" w:space="0" w:color="auto"/>
            <w:bottom w:val="none" w:sz="0" w:space="0" w:color="auto"/>
            <w:right w:val="none" w:sz="0" w:space="0" w:color="auto"/>
          </w:divBdr>
        </w:div>
        <w:div w:id="1858691486">
          <w:marLeft w:val="0"/>
          <w:marRight w:val="0"/>
          <w:marTop w:val="0"/>
          <w:marBottom w:val="0"/>
          <w:divBdr>
            <w:top w:val="none" w:sz="0" w:space="0" w:color="auto"/>
            <w:left w:val="none" w:sz="0" w:space="0" w:color="auto"/>
            <w:bottom w:val="none" w:sz="0" w:space="0" w:color="auto"/>
            <w:right w:val="none" w:sz="0" w:space="0" w:color="auto"/>
          </w:divBdr>
        </w:div>
        <w:div w:id="403721238">
          <w:marLeft w:val="0"/>
          <w:marRight w:val="0"/>
          <w:marTop w:val="0"/>
          <w:marBottom w:val="0"/>
          <w:divBdr>
            <w:top w:val="none" w:sz="0" w:space="0" w:color="auto"/>
            <w:left w:val="none" w:sz="0" w:space="0" w:color="auto"/>
            <w:bottom w:val="none" w:sz="0" w:space="0" w:color="auto"/>
            <w:right w:val="none" w:sz="0" w:space="0" w:color="auto"/>
          </w:divBdr>
        </w:div>
        <w:div w:id="134950507">
          <w:marLeft w:val="0"/>
          <w:marRight w:val="0"/>
          <w:marTop w:val="0"/>
          <w:marBottom w:val="0"/>
          <w:divBdr>
            <w:top w:val="none" w:sz="0" w:space="0" w:color="auto"/>
            <w:left w:val="none" w:sz="0" w:space="0" w:color="auto"/>
            <w:bottom w:val="none" w:sz="0" w:space="0" w:color="auto"/>
            <w:right w:val="none" w:sz="0" w:space="0" w:color="auto"/>
          </w:divBdr>
        </w:div>
      </w:divsChild>
    </w:div>
    <w:div w:id="1276910774">
      <w:bodyDiv w:val="1"/>
      <w:marLeft w:val="0"/>
      <w:marRight w:val="0"/>
      <w:marTop w:val="0"/>
      <w:marBottom w:val="0"/>
      <w:divBdr>
        <w:top w:val="none" w:sz="0" w:space="0" w:color="auto"/>
        <w:left w:val="none" w:sz="0" w:space="0" w:color="auto"/>
        <w:bottom w:val="none" w:sz="0" w:space="0" w:color="auto"/>
        <w:right w:val="none" w:sz="0" w:space="0" w:color="auto"/>
      </w:divBdr>
    </w:div>
    <w:div w:id="1293557241">
      <w:bodyDiv w:val="1"/>
      <w:marLeft w:val="0"/>
      <w:marRight w:val="0"/>
      <w:marTop w:val="0"/>
      <w:marBottom w:val="0"/>
      <w:divBdr>
        <w:top w:val="none" w:sz="0" w:space="0" w:color="auto"/>
        <w:left w:val="none" w:sz="0" w:space="0" w:color="auto"/>
        <w:bottom w:val="none" w:sz="0" w:space="0" w:color="auto"/>
        <w:right w:val="none" w:sz="0" w:space="0" w:color="auto"/>
      </w:divBdr>
    </w:div>
    <w:div w:id="1305312476">
      <w:bodyDiv w:val="1"/>
      <w:marLeft w:val="0"/>
      <w:marRight w:val="0"/>
      <w:marTop w:val="0"/>
      <w:marBottom w:val="0"/>
      <w:divBdr>
        <w:top w:val="none" w:sz="0" w:space="0" w:color="auto"/>
        <w:left w:val="none" w:sz="0" w:space="0" w:color="auto"/>
        <w:bottom w:val="none" w:sz="0" w:space="0" w:color="auto"/>
        <w:right w:val="none" w:sz="0" w:space="0" w:color="auto"/>
      </w:divBdr>
    </w:div>
    <w:div w:id="1307079678">
      <w:bodyDiv w:val="1"/>
      <w:marLeft w:val="0"/>
      <w:marRight w:val="0"/>
      <w:marTop w:val="0"/>
      <w:marBottom w:val="0"/>
      <w:divBdr>
        <w:top w:val="none" w:sz="0" w:space="0" w:color="auto"/>
        <w:left w:val="none" w:sz="0" w:space="0" w:color="auto"/>
        <w:bottom w:val="none" w:sz="0" w:space="0" w:color="auto"/>
        <w:right w:val="none" w:sz="0" w:space="0" w:color="auto"/>
      </w:divBdr>
    </w:div>
    <w:div w:id="1373461474">
      <w:bodyDiv w:val="1"/>
      <w:marLeft w:val="0"/>
      <w:marRight w:val="0"/>
      <w:marTop w:val="0"/>
      <w:marBottom w:val="0"/>
      <w:divBdr>
        <w:top w:val="none" w:sz="0" w:space="0" w:color="auto"/>
        <w:left w:val="none" w:sz="0" w:space="0" w:color="auto"/>
        <w:bottom w:val="none" w:sz="0" w:space="0" w:color="auto"/>
        <w:right w:val="none" w:sz="0" w:space="0" w:color="auto"/>
      </w:divBdr>
    </w:div>
    <w:div w:id="1448357355">
      <w:bodyDiv w:val="1"/>
      <w:marLeft w:val="0"/>
      <w:marRight w:val="0"/>
      <w:marTop w:val="0"/>
      <w:marBottom w:val="0"/>
      <w:divBdr>
        <w:top w:val="none" w:sz="0" w:space="0" w:color="auto"/>
        <w:left w:val="none" w:sz="0" w:space="0" w:color="auto"/>
        <w:bottom w:val="none" w:sz="0" w:space="0" w:color="auto"/>
        <w:right w:val="none" w:sz="0" w:space="0" w:color="auto"/>
      </w:divBdr>
    </w:div>
    <w:div w:id="1470049275">
      <w:bodyDiv w:val="1"/>
      <w:marLeft w:val="0"/>
      <w:marRight w:val="0"/>
      <w:marTop w:val="0"/>
      <w:marBottom w:val="0"/>
      <w:divBdr>
        <w:top w:val="none" w:sz="0" w:space="0" w:color="auto"/>
        <w:left w:val="none" w:sz="0" w:space="0" w:color="auto"/>
        <w:bottom w:val="none" w:sz="0" w:space="0" w:color="auto"/>
        <w:right w:val="none" w:sz="0" w:space="0" w:color="auto"/>
      </w:divBdr>
    </w:div>
    <w:div w:id="1471050285">
      <w:bodyDiv w:val="1"/>
      <w:marLeft w:val="0"/>
      <w:marRight w:val="0"/>
      <w:marTop w:val="0"/>
      <w:marBottom w:val="0"/>
      <w:divBdr>
        <w:top w:val="none" w:sz="0" w:space="0" w:color="auto"/>
        <w:left w:val="none" w:sz="0" w:space="0" w:color="auto"/>
        <w:bottom w:val="none" w:sz="0" w:space="0" w:color="auto"/>
        <w:right w:val="none" w:sz="0" w:space="0" w:color="auto"/>
      </w:divBdr>
    </w:div>
    <w:div w:id="1574051141">
      <w:bodyDiv w:val="1"/>
      <w:marLeft w:val="0"/>
      <w:marRight w:val="0"/>
      <w:marTop w:val="0"/>
      <w:marBottom w:val="0"/>
      <w:divBdr>
        <w:top w:val="none" w:sz="0" w:space="0" w:color="auto"/>
        <w:left w:val="none" w:sz="0" w:space="0" w:color="auto"/>
        <w:bottom w:val="none" w:sz="0" w:space="0" w:color="auto"/>
        <w:right w:val="none" w:sz="0" w:space="0" w:color="auto"/>
      </w:divBdr>
    </w:div>
    <w:div w:id="1805653690">
      <w:bodyDiv w:val="1"/>
      <w:marLeft w:val="0"/>
      <w:marRight w:val="0"/>
      <w:marTop w:val="0"/>
      <w:marBottom w:val="0"/>
      <w:divBdr>
        <w:top w:val="none" w:sz="0" w:space="0" w:color="auto"/>
        <w:left w:val="none" w:sz="0" w:space="0" w:color="auto"/>
        <w:bottom w:val="none" w:sz="0" w:space="0" w:color="auto"/>
        <w:right w:val="none" w:sz="0" w:space="0" w:color="auto"/>
      </w:divBdr>
      <w:divsChild>
        <w:div w:id="1076518355">
          <w:marLeft w:val="0"/>
          <w:marRight w:val="0"/>
          <w:marTop w:val="0"/>
          <w:marBottom w:val="0"/>
          <w:divBdr>
            <w:top w:val="none" w:sz="0" w:space="0" w:color="auto"/>
            <w:left w:val="none" w:sz="0" w:space="0" w:color="auto"/>
            <w:bottom w:val="none" w:sz="0" w:space="0" w:color="auto"/>
            <w:right w:val="none" w:sz="0" w:space="0" w:color="auto"/>
          </w:divBdr>
        </w:div>
        <w:div w:id="26028625">
          <w:marLeft w:val="0"/>
          <w:marRight w:val="0"/>
          <w:marTop w:val="0"/>
          <w:marBottom w:val="0"/>
          <w:divBdr>
            <w:top w:val="none" w:sz="0" w:space="0" w:color="auto"/>
            <w:left w:val="none" w:sz="0" w:space="0" w:color="auto"/>
            <w:bottom w:val="none" w:sz="0" w:space="0" w:color="auto"/>
            <w:right w:val="none" w:sz="0" w:space="0" w:color="auto"/>
          </w:divBdr>
        </w:div>
        <w:div w:id="2003972979">
          <w:marLeft w:val="0"/>
          <w:marRight w:val="0"/>
          <w:marTop w:val="0"/>
          <w:marBottom w:val="0"/>
          <w:divBdr>
            <w:top w:val="none" w:sz="0" w:space="0" w:color="auto"/>
            <w:left w:val="none" w:sz="0" w:space="0" w:color="auto"/>
            <w:bottom w:val="none" w:sz="0" w:space="0" w:color="auto"/>
            <w:right w:val="none" w:sz="0" w:space="0" w:color="auto"/>
          </w:divBdr>
        </w:div>
        <w:div w:id="1201093879">
          <w:marLeft w:val="0"/>
          <w:marRight w:val="0"/>
          <w:marTop w:val="0"/>
          <w:marBottom w:val="0"/>
          <w:divBdr>
            <w:top w:val="none" w:sz="0" w:space="0" w:color="auto"/>
            <w:left w:val="none" w:sz="0" w:space="0" w:color="auto"/>
            <w:bottom w:val="none" w:sz="0" w:space="0" w:color="auto"/>
            <w:right w:val="none" w:sz="0" w:space="0" w:color="auto"/>
          </w:divBdr>
        </w:div>
      </w:divsChild>
    </w:div>
    <w:div w:id="1822842246">
      <w:bodyDiv w:val="1"/>
      <w:marLeft w:val="0"/>
      <w:marRight w:val="0"/>
      <w:marTop w:val="0"/>
      <w:marBottom w:val="0"/>
      <w:divBdr>
        <w:top w:val="none" w:sz="0" w:space="0" w:color="auto"/>
        <w:left w:val="none" w:sz="0" w:space="0" w:color="auto"/>
        <w:bottom w:val="none" w:sz="0" w:space="0" w:color="auto"/>
        <w:right w:val="none" w:sz="0" w:space="0" w:color="auto"/>
      </w:divBdr>
      <w:divsChild>
        <w:div w:id="1152720454">
          <w:marLeft w:val="0"/>
          <w:marRight w:val="0"/>
          <w:marTop w:val="0"/>
          <w:marBottom w:val="0"/>
          <w:divBdr>
            <w:top w:val="none" w:sz="0" w:space="0" w:color="auto"/>
            <w:left w:val="none" w:sz="0" w:space="0" w:color="auto"/>
            <w:bottom w:val="none" w:sz="0" w:space="0" w:color="auto"/>
            <w:right w:val="none" w:sz="0" w:space="0" w:color="auto"/>
          </w:divBdr>
        </w:div>
      </w:divsChild>
    </w:div>
    <w:div w:id="1832214408">
      <w:bodyDiv w:val="1"/>
      <w:marLeft w:val="0"/>
      <w:marRight w:val="0"/>
      <w:marTop w:val="0"/>
      <w:marBottom w:val="0"/>
      <w:divBdr>
        <w:top w:val="none" w:sz="0" w:space="0" w:color="auto"/>
        <w:left w:val="none" w:sz="0" w:space="0" w:color="auto"/>
        <w:bottom w:val="none" w:sz="0" w:space="0" w:color="auto"/>
        <w:right w:val="none" w:sz="0" w:space="0" w:color="auto"/>
      </w:divBdr>
    </w:div>
    <w:div w:id="1840075940">
      <w:bodyDiv w:val="1"/>
      <w:marLeft w:val="0"/>
      <w:marRight w:val="0"/>
      <w:marTop w:val="0"/>
      <w:marBottom w:val="0"/>
      <w:divBdr>
        <w:top w:val="none" w:sz="0" w:space="0" w:color="auto"/>
        <w:left w:val="none" w:sz="0" w:space="0" w:color="auto"/>
        <w:bottom w:val="none" w:sz="0" w:space="0" w:color="auto"/>
        <w:right w:val="none" w:sz="0" w:space="0" w:color="auto"/>
      </w:divBdr>
    </w:div>
    <w:div w:id="190771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c2ac9d38-f079-44ed-b41b-a6df0b7bb05c</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933C0-5E1C-4306-9B95-EC0854438271}">
  <ds:schemaRefs>
    <ds:schemaRef ds:uri="http://www.datev.de/BSOffice/999929"/>
  </ds:schemaRefs>
</ds:datastoreItem>
</file>

<file path=customXml/itemProps2.xml><?xml version="1.0" encoding="utf-8"?>
<ds:datastoreItem xmlns:ds="http://schemas.openxmlformats.org/officeDocument/2006/customXml" ds:itemID="{D3BC6C35-E23C-44CC-86EB-664F1B85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2742</Words>
  <Characters>17280</Characters>
  <Application>Microsoft Office Word</Application>
  <DocSecurity>0</DocSecurity>
  <Lines>144</Lines>
  <Paragraphs>39</Paragraphs>
  <ScaleCrop>false</ScaleCrop>
  <HeadingPairs>
    <vt:vector size="2" baseType="variant">
      <vt:variant>
        <vt:lpstr>Titel</vt:lpstr>
      </vt:variant>
      <vt:variant>
        <vt:i4>1</vt:i4>
      </vt:variant>
    </vt:vector>
  </HeadingPairs>
  <TitlesOfParts>
    <vt:vector size="1" baseType="lpstr">
      <vt:lpstr>Mandanteninformationsbrief</vt:lpstr>
    </vt:vector>
  </TitlesOfParts>
  <Company>Steuerseminare Graf GmbH</Company>
  <LinksUpToDate>false</LinksUpToDate>
  <CharactersWithSpaces>19983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Mandanteninformationsbrief</dc:title>
  <dc:creator>Jan Böttcher</dc:creator>
  <cp:lastModifiedBy>Ermelinde Bliesner - Müller Steuerberatung</cp:lastModifiedBy>
  <cp:revision>2</cp:revision>
  <cp:lastPrinted>2018-06-27T11:48:00Z</cp:lastPrinted>
  <dcterms:created xsi:type="dcterms:W3CDTF">2018-07-02T09:46:00Z</dcterms:created>
  <dcterms:modified xsi:type="dcterms:W3CDTF">2018-07-02T09:46:00Z</dcterms:modified>
</cp:coreProperties>
</file>